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D1" w:rsidRDefault="00877CD1" w:rsidP="00877CD1">
      <w:pPr>
        <w:pStyle w:val="Heading1"/>
        <w:spacing w:before="0" w:line="360" w:lineRule="auto"/>
        <w:jc w:val="center"/>
        <w:rPr>
          <w:rFonts w:ascii="Times New Roman" w:hAnsi="Times New Roman" w:cs="Times New Roman"/>
          <w:color w:val="auto"/>
          <w:sz w:val="24"/>
          <w:szCs w:val="24"/>
        </w:rPr>
      </w:pPr>
      <w:bookmarkStart w:id="0" w:name="_Toc220650607"/>
      <w:r w:rsidRPr="00D46355">
        <w:rPr>
          <w:rFonts w:ascii="Times New Roman" w:hAnsi="Times New Roman" w:cs="Times New Roman"/>
          <w:color w:val="auto"/>
          <w:sz w:val="24"/>
          <w:szCs w:val="24"/>
        </w:rPr>
        <w:t xml:space="preserve">BAB </w:t>
      </w:r>
      <w:r>
        <w:rPr>
          <w:rFonts w:ascii="Times New Roman" w:hAnsi="Times New Roman" w:cs="Times New Roman"/>
          <w:color w:val="auto"/>
          <w:sz w:val="24"/>
          <w:szCs w:val="24"/>
        </w:rPr>
        <w:t>V</w:t>
      </w:r>
      <w:bookmarkEnd w:id="0"/>
      <w:r w:rsidRPr="00D46355">
        <w:rPr>
          <w:rFonts w:ascii="Times New Roman" w:hAnsi="Times New Roman" w:cs="Times New Roman"/>
          <w:color w:val="auto"/>
          <w:sz w:val="24"/>
          <w:szCs w:val="24"/>
        </w:rPr>
        <w:t xml:space="preserve"> </w:t>
      </w:r>
    </w:p>
    <w:p w:rsidR="00877CD1" w:rsidRDefault="00877CD1" w:rsidP="00877CD1">
      <w:pPr>
        <w:pStyle w:val="Heading1"/>
        <w:spacing w:before="0" w:line="360" w:lineRule="auto"/>
        <w:jc w:val="center"/>
        <w:rPr>
          <w:rFonts w:ascii="Times New Roman" w:hAnsi="Times New Roman" w:cs="Times New Roman"/>
          <w:color w:val="auto"/>
          <w:sz w:val="24"/>
          <w:szCs w:val="24"/>
        </w:rPr>
      </w:pPr>
      <w:bookmarkStart w:id="1" w:name="_Toc220650608"/>
      <w:r>
        <w:rPr>
          <w:rFonts w:ascii="Times New Roman" w:hAnsi="Times New Roman" w:cs="Times New Roman"/>
          <w:color w:val="auto"/>
          <w:sz w:val="24"/>
          <w:szCs w:val="24"/>
        </w:rPr>
        <w:t>KESIMPULAN DAN REKOMENDASI</w:t>
      </w:r>
      <w:bookmarkEnd w:id="1"/>
    </w:p>
    <w:p w:rsidR="00877CD1" w:rsidRPr="006B2B17" w:rsidRDefault="00877CD1" w:rsidP="00877CD1">
      <w:pPr>
        <w:spacing w:after="0" w:line="360" w:lineRule="auto"/>
      </w:pPr>
    </w:p>
    <w:p w:rsidR="00877CD1" w:rsidRPr="00DA39D6" w:rsidRDefault="00877CD1" w:rsidP="00877CD1">
      <w:pPr>
        <w:pStyle w:val="Heading1"/>
        <w:numPr>
          <w:ilvl w:val="1"/>
          <w:numId w:val="3"/>
        </w:numPr>
        <w:spacing w:before="0" w:line="360" w:lineRule="auto"/>
        <w:ind w:left="709" w:hanging="709"/>
        <w:jc w:val="both"/>
        <w:rPr>
          <w:rFonts w:ascii="Times New Roman" w:hAnsi="Times New Roman" w:cs="Times New Roman"/>
          <w:color w:val="auto"/>
          <w:sz w:val="24"/>
          <w:szCs w:val="24"/>
        </w:rPr>
      </w:pPr>
      <w:bookmarkStart w:id="2" w:name="_Toc220650609"/>
      <w:r w:rsidRPr="00DA39D6">
        <w:rPr>
          <w:rFonts w:ascii="Times New Roman" w:hAnsi="Times New Roman" w:cs="Times New Roman"/>
          <w:color w:val="auto"/>
          <w:sz w:val="24"/>
          <w:szCs w:val="24"/>
        </w:rPr>
        <w:t>Kesimpulan</w:t>
      </w:r>
      <w:bookmarkEnd w:id="2"/>
    </w:p>
    <w:p w:rsidR="00877CD1" w:rsidRPr="00DA39D6" w:rsidRDefault="00877CD1" w:rsidP="00877CD1">
      <w:pPr>
        <w:spacing w:after="0" w:line="360" w:lineRule="auto"/>
        <w:ind w:firstLine="709"/>
        <w:jc w:val="both"/>
        <w:rPr>
          <w:rFonts w:ascii="Times New Roman" w:hAnsi="Times New Roman" w:cs="Times New Roman"/>
          <w:sz w:val="24"/>
          <w:szCs w:val="24"/>
        </w:rPr>
      </w:pPr>
      <w:r w:rsidRPr="00DA39D6">
        <w:rPr>
          <w:rFonts w:ascii="Times New Roman" w:hAnsi="Times New Roman" w:cs="Times New Roman"/>
          <w:sz w:val="24"/>
          <w:szCs w:val="24"/>
        </w:rPr>
        <w:t xml:space="preserve">Berdasarkan hasil analisis jangkauan pelayanan sekolah menengah (SMP dan SMA/SMK) di Kecamatan Gomo, Kabupaten Nias Selatan, dengan menggunakan Sistem Informasi Geografis (SIG) dan metode </w:t>
      </w:r>
      <w:r w:rsidRPr="00DA39D6">
        <w:rPr>
          <w:rFonts w:ascii="Times New Roman" w:hAnsi="Times New Roman" w:cs="Times New Roman"/>
          <w:i/>
          <w:iCs/>
          <w:sz w:val="24"/>
          <w:szCs w:val="24"/>
        </w:rPr>
        <w:t>Network Analyst</w:t>
      </w:r>
      <w:r w:rsidRPr="00DA39D6">
        <w:rPr>
          <w:rFonts w:ascii="Times New Roman" w:hAnsi="Times New Roman" w:cs="Times New Roman"/>
          <w:sz w:val="24"/>
          <w:szCs w:val="24"/>
        </w:rPr>
        <w:t>, dapat disimpulkan bahwa:</w:t>
      </w:r>
    </w:p>
    <w:p w:rsidR="00877CD1" w:rsidRPr="00DA39D6" w:rsidRDefault="00877CD1" w:rsidP="00877CD1">
      <w:pPr>
        <w:numPr>
          <w:ilvl w:val="0"/>
          <w:numId w:val="2"/>
        </w:numPr>
        <w:tabs>
          <w:tab w:val="clear" w:pos="720"/>
        </w:tabs>
        <w:spacing w:after="0" w:line="360" w:lineRule="auto"/>
        <w:ind w:left="709" w:hanging="425"/>
        <w:jc w:val="both"/>
        <w:rPr>
          <w:rFonts w:ascii="Times New Roman" w:hAnsi="Times New Roman" w:cs="Times New Roman"/>
          <w:sz w:val="24"/>
          <w:szCs w:val="24"/>
        </w:rPr>
      </w:pPr>
      <w:r w:rsidRPr="00DA39D6">
        <w:rPr>
          <w:rFonts w:ascii="Times New Roman" w:hAnsi="Times New Roman" w:cs="Times New Roman"/>
          <w:sz w:val="24"/>
          <w:szCs w:val="24"/>
        </w:rPr>
        <w:t>Kecepatan perjalanan siswa menuju sekolah dengan moda berjalan kaki dan sepeda dapat digunakan sebagai parameter yang representatif dalam analisis jangkauan pelayanan, karena mencerminkan kondisi mobilitas siswa yang sebenarnya di wilayah penelitian.</w:t>
      </w:r>
    </w:p>
    <w:p w:rsidR="00877CD1" w:rsidRPr="00DA39D6" w:rsidRDefault="00877CD1" w:rsidP="00877CD1">
      <w:pPr>
        <w:numPr>
          <w:ilvl w:val="0"/>
          <w:numId w:val="2"/>
        </w:numPr>
        <w:tabs>
          <w:tab w:val="clear" w:pos="720"/>
        </w:tabs>
        <w:spacing w:after="0" w:line="360" w:lineRule="auto"/>
        <w:ind w:left="709" w:hanging="425"/>
        <w:jc w:val="both"/>
        <w:rPr>
          <w:rFonts w:ascii="Times New Roman" w:hAnsi="Times New Roman" w:cs="Times New Roman"/>
          <w:sz w:val="24"/>
          <w:szCs w:val="24"/>
        </w:rPr>
      </w:pPr>
      <w:r w:rsidRPr="00DA39D6">
        <w:rPr>
          <w:rFonts w:ascii="Times New Roman" w:hAnsi="Times New Roman" w:cs="Times New Roman"/>
          <w:sz w:val="24"/>
          <w:szCs w:val="24"/>
        </w:rPr>
        <w:t>Jangkauan pelayanan sekolah menengah berdasarkan batas waktu tempuh maksimal 30 menit menunjukkan bahwa belum seluruh wilayah permukiman di Kecamatan Gomo terlayani secara optimal, akibat keterbatasan jaringan jalan dan persebaran lokasi sekolah.</w:t>
      </w:r>
    </w:p>
    <w:p w:rsidR="00877CD1" w:rsidRPr="00DA39D6" w:rsidRDefault="00877CD1" w:rsidP="00877CD1">
      <w:pPr>
        <w:numPr>
          <w:ilvl w:val="0"/>
          <w:numId w:val="2"/>
        </w:numPr>
        <w:tabs>
          <w:tab w:val="clear" w:pos="720"/>
        </w:tabs>
        <w:spacing w:after="0" w:line="360" w:lineRule="auto"/>
        <w:ind w:left="709" w:hanging="425"/>
        <w:jc w:val="both"/>
        <w:rPr>
          <w:rFonts w:ascii="Times New Roman" w:hAnsi="Times New Roman" w:cs="Times New Roman"/>
          <w:sz w:val="24"/>
          <w:szCs w:val="24"/>
        </w:rPr>
      </w:pPr>
      <w:r w:rsidRPr="00DA39D6">
        <w:rPr>
          <w:rFonts w:ascii="Times New Roman" w:hAnsi="Times New Roman" w:cs="Times New Roman"/>
          <w:sz w:val="24"/>
          <w:szCs w:val="24"/>
        </w:rPr>
        <w:t>Analisis penduduk pelayanan memperlihatkan masih terdapat penduduk usia sekolah yang berada di luar jangkauan pelayanan sekolah menengah, terutama pada desa-desa dengan aksesibilitas rendah.</w:t>
      </w:r>
    </w:p>
    <w:p w:rsidR="00877CD1" w:rsidRPr="00DA39D6" w:rsidRDefault="00877CD1" w:rsidP="00877CD1">
      <w:pPr>
        <w:numPr>
          <w:ilvl w:val="0"/>
          <w:numId w:val="2"/>
        </w:numPr>
        <w:tabs>
          <w:tab w:val="clear" w:pos="720"/>
        </w:tabs>
        <w:spacing w:after="0" w:line="360" w:lineRule="auto"/>
        <w:ind w:left="709" w:hanging="425"/>
        <w:jc w:val="both"/>
        <w:rPr>
          <w:rFonts w:ascii="Times New Roman" w:hAnsi="Times New Roman" w:cs="Times New Roman"/>
          <w:sz w:val="24"/>
          <w:szCs w:val="24"/>
        </w:rPr>
      </w:pPr>
      <w:r w:rsidRPr="00DA39D6">
        <w:rPr>
          <w:rFonts w:ascii="Times New Roman" w:hAnsi="Times New Roman" w:cs="Times New Roman"/>
          <w:sz w:val="24"/>
          <w:szCs w:val="24"/>
        </w:rPr>
        <w:t>Sekolah di luar Kecamatan Gomo dapat berfungsi sebagai alternatif pelayanan bagi permukiman yang tidak terlayani, selama jarak tempuh dan keterjangkauan rute perjalanan masih berada dalam batas yang wajar.</w:t>
      </w:r>
    </w:p>
    <w:p w:rsidR="00877CD1" w:rsidRPr="00DA39D6" w:rsidRDefault="00877CD1" w:rsidP="00877CD1">
      <w:pPr>
        <w:spacing w:after="0" w:line="360" w:lineRule="auto"/>
        <w:ind w:firstLine="709"/>
        <w:jc w:val="both"/>
        <w:rPr>
          <w:rFonts w:ascii="Times New Roman" w:hAnsi="Times New Roman" w:cs="Times New Roman"/>
          <w:sz w:val="24"/>
          <w:szCs w:val="24"/>
        </w:rPr>
      </w:pPr>
      <w:r w:rsidRPr="00DA39D6">
        <w:rPr>
          <w:rFonts w:ascii="Times New Roman" w:hAnsi="Times New Roman" w:cs="Times New Roman"/>
          <w:sz w:val="24"/>
          <w:szCs w:val="24"/>
        </w:rPr>
        <w:t xml:space="preserve">Secara keseluruhan, analisis berbasis jaringan jalan menggunakan </w:t>
      </w:r>
      <w:r w:rsidRPr="00DA39D6">
        <w:rPr>
          <w:rFonts w:ascii="Times New Roman" w:hAnsi="Times New Roman" w:cs="Times New Roman"/>
          <w:i/>
          <w:iCs/>
          <w:sz w:val="24"/>
          <w:szCs w:val="24"/>
        </w:rPr>
        <w:t>Network Analyst</w:t>
      </w:r>
      <w:r w:rsidRPr="00DA39D6">
        <w:rPr>
          <w:rFonts w:ascii="Times New Roman" w:hAnsi="Times New Roman" w:cs="Times New Roman"/>
          <w:sz w:val="24"/>
          <w:szCs w:val="24"/>
        </w:rPr>
        <w:t xml:space="preserve"> mampu memberikan gambaran yang lebih akurat mengenai tingkat aksesibilitas pelayanan pendidikan menengah dan dapat dijadikan dasar dalam perencanaan pemerataan pelayanan sekolah di Kecamatan Gomo.</w:t>
      </w:r>
    </w:p>
    <w:p w:rsidR="00877CD1" w:rsidRPr="00DA39D6" w:rsidRDefault="00877CD1" w:rsidP="00877CD1">
      <w:pPr>
        <w:pStyle w:val="ListParagraph"/>
        <w:spacing w:after="0" w:line="360" w:lineRule="auto"/>
        <w:ind w:left="851"/>
        <w:jc w:val="both"/>
        <w:rPr>
          <w:rFonts w:ascii="Times New Roman" w:hAnsi="Times New Roman" w:cs="Times New Roman"/>
          <w:sz w:val="24"/>
          <w:szCs w:val="24"/>
        </w:rPr>
      </w:pPr>
    </w:p>
    <w:p w:rsidR="00877CD1" w:rsidRPr="00DA39D6" w:rsidRDefault="00877CD1" w:rsidP="00877CD1">
      <w:pPr>
        <w:pStyle w:val="Heading1"/>
        <w:numPr>
          <w:ilvl w:val="1"/>
          <w:numId w:val="3"/>
        </w:numPr>
        <w:spacing w:before="0" w:line="360" w:lineRule="auto"/>
        <w:ind w:left="709" w:hanging="709"/>
        <w:jc w:val="both"/>
        <w:rPr>
          <w:rFonts w:ascii="Times New Roman" w:hAnsi="Times New Roman" w:cs="Times New Roman"/>
          <w:color w:val="auto"/>
          <w:sz w:val="24"/>
          <w:szCs w:val="24"/>
        </w:rPr>
      </w:pPr>
      <w:bookmarkStart w:id="3" w:name="_Toc220650610"/>
      <w:r w:rsidRPr="00DA39D6">
        <w:rPr>
          <w:rFonts w:ascii="Times New Roman" w:hAnsi="Times New Roman" w:cs="Times New Roman"/>
          <w:color w:val="auto"/>
          <w:sz w:val="24"/>
          <w:szCs w:val="24"/>
        </w:rPr>
        <w:t>Rekomendasi</w:t>
      </w:r>
      <w:bookmarkEnd w:id="3"/>
    </w:p>
    <w:p w:rsidR="00877CD1" w:rsidRPr="00DA39D6" w:rsidRDefault="00877CD1" w:rsidP="00877CD1">
      <w:pPr>
        <w:spacing w:after="0" w:line="360" w:lineRule="auto"/>
        <w:ind w:firstLine="709"/>
        <w:jc w:val="both"/>
        <w:rPr>
          <w:rFonts w:ascii="Times New Roman" w:hAnsi="Times New Roman" w:cs="Times New Roman"/>
          <w:b/>
          <w:sz w:val="24"/>
          <w:szCs w:val="24"/>
        </w:rPr>
      </w:pPr>
      <w:r w:rsidRPr="00DA39D6">
        <w:rPr>
          <w:rFonts w:ascii="Times New Roman" w:hAnsi="Times New Roman" w:cs="Times New Roman"/>
          <w:sz w:val="24"/>
          <w:szCs w:val="24"/>
        </w:rPr>
        <w:t xml:space="preserve">Berdasarkan hasil analisis jangkauan pelayanan sekolah menengah (SMP dan SMA/SMK) di Kecamatan Gomo, diketahui bahwa masih terdapat beberapa wilayah permukiman yang nelum terjangkau. Kondisi tersebut dipengaruhi oleh keterbatasan jaringan jalan, dan kualitas infrastruktur jalan yang belum memadai. </w:t>
      </w:r>
      <w:r w:rsidRPr="00DA39D6">
        <w:rPr>
          <w:rFonts w:ascii="Times New Roman" w:hAnsi="Times New Roman" w:cs="Times New Roman"/>
          <w:sz w:val="24"/>
          <w:szCs w:val="24"/>
        </w:rPr>
        <w:lastRenderedPageBreak/>
        <w:t>Oleh karena itu, diperlukan sejumlah rekomendasi strategis yang dapat dijadikan bahan pertimbangan bagi pemerintah daerah dan pemangku kepentingan terkait dalam upaya meningkatkan pemerataan akses pendidikan menengah. Adapun rekomendasi adalah sebagai berikut :</w:t>
      </w:r>
    </w:p>
    <w:p w:rsidR="00877CD1" w:rsidRPr="00DA39D6" w:rsidRDefault="00877CD1" w:rsidP="00877CD1">
      <w:pPr>
        <w:pStyle w:val="ListParagraph"/>
        <w:numPr>
          <w:ilvl w:val="0"/>
          <w:numId w:val="1"/>
        </w:numPr>
        <w:tabs>
          <w:tab w:val="left" w:pos="709"/>
        </w:tabs>
        <w:spacing w:after="0" w:line="360" w:lineRule="auto"/>
        <w:ind w:left="709" w:hanging="425"/>
        <w:jc w:val="both"/>
        <w:rPr>
          <w:rFonts w:ascii="Times New Roman" w:hAnsi="Times New Roman" w:cs="Times New Roman"/>
          <w:bCs/>
          <w:sz w:val="24"/>
          <w:szCs w:val="24"/>
        </w:rPr>
      </w:pPr>
      <w:r w:rsidRPr="00DA39D6">
        <w:rPr>
          <w:rFonts w:ascii="Times New Roman" w:hAnsi="Times New Roman" w:cs="Times New Roman"/>
          <w:bCs/>
          <w:sz w:val="24"/>
          <w:szCs w:val="24"/>
        </w:rPr>
        <w:t>Pembukaan Jalan Baru</w:t>
      </w:r>
    </w:p>
    <w:p w:rsidR="00877CD1" w:rsidRPr="00DA39D6" w:rsidRDefault="00877CD1" w:rsidP="00877CD1">
      <w:pPr>
        <w:pStyle w:val="ListParagraph"/>
        <w:spacing w:after="0" w:line="360" w:lineRule="auto"/>
        <w:ind w:left="709"/>
        <w:jc w:val="both"/>
        <w:rPr>
          <w:rFonts w:ascii="Times New Roman" w:hAnsi="Times New Roman" w:cs="Times New Roman"/>
          <w:sz w:val="24"/>
          <w:szCs w:val="24"/>
        </w:rPr>
      </w:pPr>
      <w:r w:rsidRPr="00DA39D6">
        <w:rPr>
          <w:rFonts w:ascii="Times New Roman" w:hAnsi="Times New Roman" w:cs="Times New Roman"/>
          <w:sz w:val="24"/>
          <w:szCs w:val="24"/>
        </w:rPr>
        <w:t xml:space="preserve">Pemerintah daerah direkomendasikan untuk melakukan pembukaan jalan baru sebagai upaya meningkatkan aksesibilitas siswa menuju fasilitas pendidikan menengah. Pembukaan jalan baru diprioritaskan pada jalur penghubung antara Desa Sukamaju Mohili dan Desa Lawa-Lawa Luo Gomo, mengingat keberadaan dua sekolah menengah yang relatif dekat dan berpotensi melayani siswa dari wilayah tersebut, yaitu SMP Negeri 2 Gomo dan SMA Negeri 2 Gomo. Selain itu, pembukaan jalan baru juga disarankan pada jalur penghubung antara Desa Doli-Doli Idano Tae dengan Kecamatan Idanotae, yang memiliki dua unit sekolah terdekat, yakni SMA Negeri 1 Idanotae dan SMK Negeri 1 Idanotae. </w:t>
      </w:r>
      <w:r w:rsidRPr="00DA39D6">
        <w:rPr>
          <w:rFonts w:ascii="Times New Roman" w:hAnsi="Times New Roman" w:cs="Times New Roman"/>
          <w:bCs/>
          <w:sz w:val="24"/>
          <w:szCs w:val="24"/>
        </w:rPr>
        <w:t>Selanjutnya, pembukaan jalan penghubung antara Desa Umbu Orahua dengan Kecamatan Ulu Idano Tae perlu dipertimbangkan, mengingat keberadaan SMP Negeri 5 Ulu Idanotae yang berpotensi menjadi alternatif pelayanan pendidikan menengah pertama bagi siswa dari Desa Umbu Orahua. Upaya ini diharapkan dapat meningkatkan keterjangkauan pelayanan pendidikan serta mengurangi keterisolasian wilayah permukiman yang sebelumnya berada di luar jangkauan pelayanan sekolah.</w:t>
      </w:r>
    </w:p>
    <w:p w:rsidR="00877CD1" w:rsidRPr="00DA39D6" w:rsidRDefault="00877CD1" w:rsidP="00877CD1">
      <w:pPr>
        <w:pStyle w:val="ListParagraph"/>
        <w:numPr>
          <w:ilvl w:val="0"/>
          <w:numId w:val="1"/>
        </w:numPr>
        <w:spacing w:after="0" w:line="360" w:lineRule="auto"/>
        <w:ind w:left="709" w:hanging="425"/>
        <w:jc w:val="both"/>
        <w:rPr>
          <w:rFonts w:ascii="Times New Roman" w:hAnsi="Times New Roman" w:cs="Times New Roman"/>
          <w:bCs/>
          <w:sz w:val="24"/>
          <w:szCs w:val="24"/>
        </w:rPr>
      </w:pPr>
      <w:r w:rsidRPr="00DA39D6">
        <w:rPr>
          <w:rFonts w:ascii="Times New Roman" w:hAnsi="Times New Roman" w:cs="Times New Roman"/>
          <w:bCs/>
          <w:sz w:val="24"/>
          <w:szCs w:val="24"/>
        </w:rPr>
        <w:t>Peningkatan Infrastruktur Jalan</w:t>
      </w:r>
    </w:p>
    <w:p w:rsidR="00877CD1" w:rsidRPr="00DA39D6" w:rsidRDefault="00877CD1" w:rsidP="00877CD1">
      <w:pPr>
        <w:pStyle w:val="ListParagraph"/>
        <w:spacing w:after="0" w:line="360" w:lineRule="auto"/>
        <w:ind w:left="709"/>
        <w:jc w:val="both"/>
        <w:rPr>
          <w:rFonts w:ascii="Times New Roman" w:hAnsi="Times New Roman" w:cs="Times New Roman"/>
          <w:bCs/>
          <w:sz w:val="24"/>
          <w:szCs w:val="24"/>
        </w:rPr>
      </w:pPr>
      <w:r w:rsidRPr="00DA39D6">
        <w:rPr>
          <w:rFonts w:ascii="Times New Roman" w:hAnsi="Times New Roman" w:cs="Times New Roman"/>
          <w:sz w:val="24"/>
          <w:szCs w:val="24"/>
        </w:rPr>
        <w:t xml:space="preserve">Pemerintah perlu memprioritaskan peningkatan kualitas infrastruktur jalan melalui kegiatan perbaikan dan pengerasan jalan, khususnya pada jalan di kawasan permukiman yang masih memiliki kondisi permukaan tanah dan kerikil. Perbaikan jalan dengan permukaan tanah perlu difokuskan di </w:t>
      </w:r>
      <w:r w:rsidRPr="00DA39D6">
        <w:rPr>
          <w:rFonts w:ascii="Times New Roman" w:hAnsi="Times New Roman" w:cs="Times New Roman"/>
          <w:bCs/>
          <w:sz w:val="24"/>
          <w:szCs w:val="24"/>
        </w:rPr>
        <w:t xml:space="preserve">Desa Sukamaju Mohili </w:t>
      </w:r>
      <w:r w:rsidRPr="00DA39D6">
        <w:rPr>
          <w:rFonts w:ascii="Times New Roman" w:hAnsi="Times New Roman" w:cs="Times New Roman"/>
          <w:sz w:val="24"/>
          <w:szCs w:val="24"/>
        </w:rPr>
        <w:t xml:space="preserve">dan </w:t>
      </w:r>
      <w:r w:rsidRPr="00DA39D6">
        <w:rPr>
          <w:rFonts w:ascii="Times New Roman" w:hAnsi="Times New Roman" w:cs="Times New Roman"/>
          <w:bCs/>
          <w:sz w:val="24"/>
          <w:szCs w:val="24"/>
        </w:rPr>
        <w:t>Desa Gunung Gabungan</w:t>
      </w:r>
      <w:r w:rsidRPr="00DA39D6">
        <w:rPr>
          <w:rFonts w:ascii="Times New Roman" w:hAnsi="Times New Roman" w:cs="Times New Roman"/>
          <w:sz w:val="24"/>
          <w:szCs w:val="24"/>
        </w:rPr>
        <w:t xml:space="preserve">. Sementara itu, peningkatan jalan dengan permukaan kerikil perlu dilakukan pada ruas jalan penghubung </w:t>
      </w:r>
      <w:r w:rsidRPr="00DA39D6">
        <w:rPr>
          <w:rFonts w:ascii="Times New Roman" w:hAnsi="Times New Roman" w:cs="Times New Roman"/>
          <w:bCs/>
          <w:sz w:val="24"/>
          <w:szCs w:val="24"/>
        </w:rPr>
        <w:t>Desa Orahili Gomo dengan Desa Orahili Sibohou</w:t>
      </w:r>
      <w:r w:rsidRPr="00DA39D6">
        <w:rPr>
          <w:rFonts w:ascii="Times New Roman" w:hAnsi="Times New Roman" w:cs="Times New Roman"/>
          <w:sz w:val="24"/>
          <w:szCs w:val="24"/>
        </w:rPr>
        <w:t xml:space="preserve">, </w:t>
      </w:r>
      <w:r w:rsidRPr="00DA39D6">
        <w:rPr>
          <w:rFonts w:ascii="Times New Roman" w:hAnsi="Times New Roman" w:cs="Times New Roman"/>
          <w:bCs/>
          <w:sz w:val="24"/>
          <w:szCs w:val="24"/>
        </w:rPr>
        <w:t>Desa Orahili Gomo dengan Desa Sukamaju Mohili</w:t>
      </w:r>
      <w:r w:rsidRPr="00DA39D6">
        <w:rPr>
          <w:rFonts w:ascii="Times New Roman" w:hAnsi="Times New Roman" w:cs="Times New Roman"/>
          <w:sz w:val="24"/>
          <w:szCs w:val="24"/>
        </w:rPr>
        <w:t xml:space="preserve">, </w:t>
      </w:r>
      <w:r w:rsidRPr="00DA39D6">
        <w:rPr>
          <w:rFonts w:ascii="Times New Roman" w:hAnsi="Times New Roman" w:cs="Times New Roman"/>
          <w:bCs/>
          <w:sz w:val="24"/>
          <w:szCs w:val="24"/>
        </w:rPr>
        <w:t>Desa Tanoniko’o dengan Desa Gunung Gabungan</w:t>
      </w:r>
      <w:r w:rsidRPr="00DA39D6">
        <w:rPr>
          <w:rFonts w:ascii="Times New Roman" w:hAnsi="Times New Roman" w:cs="Times New Roman"/>
          <w:sz w:val="24"/>
          <w:szCs w:val="24"/>
        </w:rPr>
        <w:t xml:space="preserve">, serta ruas jalan yang menghubungkan </w:t>
      </w:r>
      <w:r w:rsidRPr="00DA39D6">
        <w:rPr>
          <w:rFonts w:ascii="Times New Roman" w:hAnsi="Times New Roman" w:cs="Times New Roman"/>
          <w:bCs/>
          <w:sz w:val="24"/>
          <w:szCs w:val="24"/>
        </w:rPr>
        <w:t xml:space="preserve">Desa </w:t>
      </w:r>
      <w:r w:rsidRPr="00DA39D6">
        <w:rPr>
          <w:rFonts w:ascii="Times New Roman" w:hAnsi="Times New Roman" w:cs="Times New Roman"/>
          <w:bCs/>
          <w:sz w:val="24"/>
          <w:szCs w:val="24"/>
        </w:rPr>
        <w:lastRenderedPageBreak/>
        <w:t>Lolosoni hingga Desa Doli-Doli Idanotae</w:t>
      </w:r>
      <w:r w:rsidRPr="00DA39D6">
        <w:rPr>
          <w:rFonts w:ascii="Times New Roman" w:hAnsi="Times New Roman" w:cs="Times New Roman"/>
          <w:sz w:val="24"/>
          <w:szCs w:val="24"/>
        </w:rPr>
        <w:t>. Upaya ini diharapkan dapat meningkatkan kenyamanan, keamanan, dan kelancaran mobilitas siswa menuju sekolah.</w:t>
      </w:r>
    </w:p>
    <w:p w:rsidR="00877CD1" w:rsidRPr="00DA39D6" w:rsidRDefault="00877CD1" w:rsidP="00877CD1">
      <w:pPr>
        <w:pStyle w:val="ListParagraph"/>
        <w:numPr>
          <w:ilvl w:val="0"/>
          <w:numId w:val="1"/>
        </w:numPr>
        <w:spacing w:after="0" w:line="360" w:lineRule="auto"/>
        <w:ind w:left="709" w:hanging="425"/>
        <w:jc w:val="both"/>
        <w:rPr>
          <w:rFonts w:ascii="Times New Roman" w:hAnsi="Times New Roman" w:cs="Times New Roman"/>
          <w:sz w:val="24"/>
          <w:szCs w:val="24"/>
        </w:rPr>
      </w:pPr>
      <w:r w:rsidRPr="00DA39D6">
        <w:rPr>
          <w:rFonts w:ascii="Times New Roman" w:hAnsi="Times New Roman" w:cs="Times New Roman"/>
          <w:bCs/>
          <w:sz w:val="24"/>
          <w:szCs w:val="24"/>
        </w:rPr>
        <w:t>Peningkatan Program Beasiswa dan Dukungan Sosial</w:t>
      </w:r>
    </w:p>
    <w:p w:rsidR="00877CD1" w:rsidRDefault="00877CD1" w:rsidP="00877CD1">
      <w:pPr>
        <w:pStyle w:val="ListParagraph"/>
        <w:spacing w:after="0" w:line="360" w:lineRule="auto"/>
        <w:ind w:left="709"/>
        <w:jc w:val="both"/>
        <w:rPr>
          <w:rFonts w:ascii="Times New Roman" w:hAnsi="Times New Roman" w:cs="Times New Roman"/>
          <w:sz w:val="24"/>
          <w:szCs w:val="24"/>
        </w:rPr>
      </w:pPr>
      <w:r w:rsidRPr="00DA39D6">
        <w:rPr>
          <w:rFonts w:ascii="Times New Roman" w:hAnsi="Times New Roman" w:cs="Times New Roman"/>
          <w:sz w:val="24"/>
          <w:szCs w:val="24"/>
        </w:rPr>
        <w:t xml:space="preserve">Sebagai rekomendasi tambahan, bagi siswa yang berasal dari desa-desa dengan tingkat aksesibilitas rendah, diperlukan dukungan sosial berupa </w:t>
      </w:r>
      <w:r w:rsidRPr="00DA39D6">
        <w:rPr>
          <w:rFonts w:ascii="Times New Roman" w:hAnsi="Times New Roman" w:cs="Times New Roman"/>
          <w:bCs/>
          <w:sz w:val="24"/>
          <w:szCs w:val="24"/>
        </w:rPr>
        <w:t>program beasiswa</w:t>
      </w:r>
      <w:r w:rsidRPr="00DA39D6">
        <w:rPr>
          <w:rFonts w:ascii="Times New Roman" w:hAnsi="Times New Roman" w:cs="Times New Roman"/>
          <w:sz w:val="24"/>
          <w:szCs w:val="24"/>
        </w:rPr>
        <w:t xml:space="preserve"> atau </w:t>
      </w:r>
      <w:r w:rsidRPr="00DA39D6">
        <w:rPr>
          <w:rFonts w:ascii="Times New Roman" w:hAnsi="Times New Roman" w:cs="Times New Roman"/>
          <w:bCs/>
          <w:sz w:val="24"/>
          <w:szCs w:val="24"/>
        </w:rPr>
        <w:t>bantuan biaya transportasi</w:t>
      </w:r>
      <w:r w:rsidRPr="00DA39D6">
        <w:rPr>
          <w:rFonts w:ascii="Times New Roman" w:hAnsi="Times New Roman" w:cs="Times New Roman"/>
          <w:sz w:val="24"/>
          <w:szCs w:val="24"/>
        </w:rPr>
        <w:t xml:space="preserve">. Dukungan ini diharapkan mampu mengurangi hambatan ekonomi serta mendorong peningkatan partisipasi siswa dalam pendidikan menengah, baik pada jenjang </w:t>
      </w:r>
      <w:r w:rsidRPr="00DA39D6">
        <w:rPr>
          <w:rFonts w:ascii="Times New Roman" w:hAnsi="Times New Roman" w:cs="Times New Roman"/>
          <w:bCs/>
          <w:sz w:val="24"/>
          <w:szCs w:val="24"/>
        </w:rPr>
        <w:t>SMP maupun SMA/SMK</w:t>
      </w:r>
      <w:r w:rsidRPr="00DA39D6">
        <w:rPr>
          <w:rFonts w:ascii="Times New Roman" w:hAnsi="Times New Roman" w:cs="Times New Roman"/>
          <w:sz w:val="24"/>
          <w:szCs w:val="24"/>
        </w:rPr>
        <w:t>.</w:t>
      </w: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877CD1" w:rsidRDefault="00877CD1" w:rsidP="00877CD1">
      <w:pPr>
        <w:spacing w:after="0" w:line="360" w:lineRule="auto"/>
        <w:jc w:val="both"/>
        <w:rPr>
          <w:rFonts w:ascii="Times New Roman" w:hAnsi="Times New Roman" w:cs="Times New Roman"/>
          <w:sz w:val="24"/>
          <w:szCs w:val="24"/>
        </w:rPr>
      </w:pPr>
    </w:p>
    <w:p w:rsidR="00F96425" w:rsidRDefault="00F96425" w:rsidP="00877CD1"/>
    <w:p w:rsidR="00877CD1" w:rsidRPr="00FA389E" w:rsidRDefault="00877CD1" w:rsidP="00877CD1">
      <w:pPr>
        <w:pStyle w:val="Heading1"/>
        <w:spacing w:before="0" w:line="360" w:lineRule="auto"/>
        <w:jc w:val="center"/>
        <w:rPr>
          <w:rFonts w:ascii="Times New Roman" w:hAnsi="Times New Roman" w:cs="Times New Roman"/>
          <w:color w:val="auto"/>
          <w:sz w:val="24"/>
          <w:szCs w:val="24"/>
        </w:rPr>
      </w:pPr>
      <w:r w:rsidRPr="00FA389E">
        <w:rPr>
          <w:rFonts w:ascii="Times New Roman" w:hAnsi="Times New Roman" w:cs="Times New Roman"/>
          <w:color w:val="auto"/>
          <w:sz w:val="24"/>
          <w:szCs w:val="24"/>
        </w:rPr>
        <w:lastRenderedPageBreak/>
        <w:t>DAFTAR PUSTAKA</w:t>
      </w:r>
    </w:p>
    <w:p w:rsidR="00877CD1" w:rsidRPr="00FA389E" w:rsidRDefault="00877CD1" w:rsidP="00877CD1">
      <w:pPr>
        <w:spacing w:after="0" w:line="360" w:lineRule="auto"/>
        <w:rPr>
          <w:rFonts w:ascii="Times New Roman" w:hAnsi="Times New Roman" w:cs="Times New Roman"/>
          <w:b/>
          <w:sz w:val="24"/>
          <w:szCs w:val="24"/>
        </w:rPr>
      </w:pPr>
    </w:p>
    <w:p w:rsidR="00877CD1" w:rsidRDefault="00877CD1" w:rsidP="00877CD1">
      <w:pPr>
        <w:spacing w:after="0"/>
        <w:ind w:firstLine="720"/>
        <w:jc w:val="both"/>
        <w:rPr>
          <w:rFonts w:ascii="Times New Roman" w:eastAsia="Times New Roman" w:hAnsi="Times New Roman" w:cs="Times New Roman"/>
          <w:sz w:val="24"/>
          <w:szCs w:val="24"/>
        </w:rPr>
      </w:pPr>
      <w:r w:rsidRPr="000C3141">
        <w:rPr>
          <w:rFonts w:ascii="Times New Roman" w:eastAsia="Times New Roman" w:hAnsi="Times New Roman" w:cs="Times New Roman"/>
          <w:sz w:val="24"/>
          <w:szCs w:val="24"/>
        </w:rPr>
        <w:t>Badan Pusat Statistik (BPS) Kabupaten Nias Selatan Dalam Angka Tahun 2015-2024</w:t>
      </w:r>
      <w:r>
        <w:rPr>
          <w:rFonts w:ascii="Times New Roman" w:eastAsia="Times New Roman" w:hAnsi="Times New Roman" w:cs="Times New Roman"/>
          <w:sz w:val="24"/>
          <w:szCs w:val="24"/>
        </w:rPr>
        <w:t>.</w:t>
      </w:r>
    </w:p>
    <w:p w:rsidR="00877CD1" w:rsidRDefault="00877CD1" w:rsidP="00877CD1">
      <w:pPr>
        <w:spacing w:after="0"/>
        <w:ind w:firstLine="720"/>
        <w:jc w:val="both"/>
        <w:rPr>
          <w:rFonts w:ascii="Times New Roman" w:eastAsia="Times New Roman" w:hAnsi="Times New Roman" w:cs="Times New Roman"/>
          <w:sz w:val="24"/>
          <w:szCs w:val="24"/>
        </w:rPr>
      </w:pPr>
      <w:r w:rsidRPr="000C3141">
        <w:rPr>
          <w:rFonts w:ascii="Times New Roman" w:eastAsia="Times New Roman" w:hAnsi="Times New Roman" w:cs="Times New Roman"/>
          <w:sz w:val="24"/>
          <w:szCs w:val="24"/>
        </w:rPr>
        <w:t xml:space="preserve">Kemendikbudristek. (2024). Data Pokok Pendidikan (Dapodik) Kabupaten Nias Selatan. Dapodik. </w:t>
      </w:r>
      <w:hyperlink r:id="rId8" w:history="1">
        <w:r w:rsidRPr="00B27E10">
          <w:rPr>
            <w:rStyle w:val="Hyperlink"/>
            <w:rFonts w:ascii="Times New Roman" w:eastAsia="Times New Roman" w:hAnsi="Times New Roman" w:cs="Times New Roman"/>
            <w:sz w:val="24"/>
            <w:szCs w:val="24"/>
          </w:rPr>
          <w:t>https://dapo.kemdikbud.go.id</w:t>
        </w:r>
      </w:hyperlink>
      <w:r>
        <w:rPr>
          <w:rFonts w:ascii="Times New Roman" w:eastAsia="Times New Roman" w:hAnsi="Times New Roman" w:cs="Times New Roman"/>
          <w:sz w:val="24"/>
          <w:szCs w:val="24"/>
        </w:rPr>
        <w:t xml:space="preserve"> </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Departemen Pendidikan Nasional Republik Indonesia. (2007). </w:t>
      </w:r>
      <w:r w:rsidRPr="00475045">
        <w:rPr>
          <w:rFonts w:ascii="Times New Roman" w:eastAsia="Times New Roman" w:hAnsi="Times New Roman" w:cs="Times New Roman"/>
          <w:i/>
          <w:iCs/>
          <w:sz w:val="24"/>
          <w:szCs w:val="24"/>
        </w:rPr>
        <w:t>Peraturan Menteri Pendidikan Nasional Nomor 24 Tahun 2007 tentang Standar Sarana dan Prasarana untuk SD, SMP, dan SMA/SMK</w:t>
      </w:r>
      <w:r w:rsidRPr="00475045">
        <w:rPr>
          <w:rFonts w:ascii="Times New Roman" w:eastAsia="Times New Roman" w:hAnsi="Times New Roman" w:cs="Times New Roman"/>
          <w:sz w:val="24"/>
          <w:szCs w:val="24"/>
        </w:rPr>
        <w:t>. Jakarta: Depdiknas.</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Departemen Pekerjaan Umum. (1996). </w:t>
      </w:r>
      <w:r w:rsidRPr="00475045">
        <w:rPr>
          <w:rFonts w:ascii="Times New Roman" w:eastAsia="Times New Roman" w:hAnsi="Times New Roman" w:cs="Times New Roman"/>
          <w:i/>
          <w:iCs/>
          <w:sz w:val="24"/>
          <w:szCs w:val="24"/>
        </w:rPr>
        <w:t>Pedoman perencanaan kebutuhan sarana dan prasarana kota</w:t>
      </w:r>
      <w:r w:rsidRPr="00475045">
        <w:rPr>
          <w:rFonts w:ascii="Times New Roman" w:eastAsia="Times New Roman" w:hAnsi="Times New Roman" w:cs="Times New Roman"/>
          <w:sz w:val="24"/>
          <w:szCs w:val="24"/>
        </w:rPr>
        <w:t>. Jakarta: Direktorat Jenderal Cipta Karya.</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Departemen Pekerjaan Umum Republik Indonesia. (2007). </w:t>
      </w:r>
      <w:r w:rsidRPr="00475045">
        <w:rPr>
          <w:rFonts w:ascii="Times New Roman" w:eastAsia="Times New Roman" w:hAnsi="Times New Roman" w:cs="Times New Roman"/>
          <w:i/>
          <w:iCs/>
          <w:sz w:val="24"/>
          <w:szCs w:val="24"/>
        </w:rPr>
        <w:t>Peraturan Menteri Pekerjaan Umum Nomor 41/PRT/M/2007 tentang Pedoman Kriteria Teknis Kawasan Perkotaan</w:t>
      </w:r>
      <w:r w:rsidRPr="00475045">
        <w:rPr>
          <w:rFonts w:ascii="Times New Roman" w:eastAsia="Times New Roman" w:hAnsi="Times New Roman" w:cs="Times New Roman"/>
          <w:sz w:val="24"/>
          <w:szCs w:val="24"/>
        </w:rPr>
        <w:t>. Jakarta.</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Direktorat Jenderal Penataan Ruang. (2011). </w:t>
      </w:r>
      <w:r w:rsidRPr="00475045">
        <w:rPr>
          <w:rFonts w:ascii="Times New Roman" w:eastAsia="Times New Roman" w:hAnsi="Times New Roman" w:cs="Times New Roman"/>
          <w:i/>
          <w:iCs/>
          <w:sz w:val="24"/>
          <w:szCs w:val="24"/>
        </w:rPr>
        <w:t>Pedoman perencanaan sarana dan prasarana wilayah</w:t>
      </w:r>
      <w:r w:rsidRPr="00475045">
        <w:rPr>
          <w:rFonts w:ascii="Times New Roman" w:eastAsia="Times New Roman" w:hAnsi="Times New Roman" w:cs="Times New Roman"/>
          <w:sz w:val="24"/>
          <w:szCs w:val="24"/>
        </w:rPr>
        <w:t>. Jakarta: Kementerian Pekerjaan Umum.</w:t>
      </w:r>
    </w:p>
    <w:p w:rsidR="00877CD1" w:rsidRDefault="00877CD1" w:rsidP="00877CD1">
      <w:pPr>
        <w:spacing w:after="0"/>
        <w:ind w:firstLine="720"/>
        <w:jc w:val="both"/>
        <w:rPr>
          <w:rFonts w:ascii="Times New Roman" w:eastAsia="Times New Roman" w:hAnsi="Times New Roman" w:cs="Times New Roman"/>
          <w:sz w:val="24"/>
          <w:szCs w:val="24"/>
        </w:rPr>
      </w:pPr>
      <w:r w:rsidRPr="000C3141">
        <w:rPr>
          <w:rFonts w:ascii="Times New Roman" w:eastAsia="Times New Roman" w:hAnsi="Times New Roman" w:cs="Times New Roman"/>
          <w:sz w:val="24"/>
          <w:szCs w:val="24"/>
        </w:rPr>
        <w:t xml:space="preserve">SNI 03-1733-2004. (2004). </w:t>
      </w:r>
      <w:r w:rsidRPr="000C3141">
        <w:rPr>
          <w:rFonts w:ascii="Times New Roman" w:eastAsia="Times New Roman" w:hAnsi="Times New Roman" w:cs="Times New Roman"/>
          <w:i/>
          <w:iCs/>
          <w:sz w:val="24"/>
          <w:szCs w:val="24"/>
        </w:rPr>
        <w:t>Tata cara perencanaan lingkungan perumahan di perkotaan</w:t>
      </w:r>
      <w:r w:rsidRPr="000C3141">
        <w:rPr>
          <w:rFonts w:ascii="Times New Roman" w:eastAsia="Times New Roman" w:hAnsi="Times New Roman" w:cs="Times New Roman"/>
          <w:sz w:val="24"/>
          <w:szCs w:val="24"/>
        </w:rPr>
        <w:t>. Badan Standardisasi Nasional.</w:t>
      </w:r>
    </w:p>
    <w:p w:rsidR="00877CD1" w:rsidRPr="000C3141" w:rsidRDefault="00877CD1" w:rsidP="00877CD1">
      <w:pPr>
        <w:spacing w:after="0"/>
        <w:ind w:firstLine="720"/>
        <w:jc w:val="both"/>
        <w:rPr>
          <w:rFonts w:ascii="Times New Roman" w:eastAsia="Times New Roman" w:hAnsi="Times New Roman" w:cs="Times New Roman"/>
          <w:sz w:val="24"/>
          <w:szCs w:val="24"/>
        </w:rPr>
      </w:pPr>
      <w:r w:rsidRPr="000C3141">
        <w:rPr>
          <w:rFonts w:ascii="Times New Roman" w:eastAsia="Times New Roman" w:hAnsi="Times New Roman" w:cs="Times New Roman"/>
          <w:sz w:val="24"/>
          <w:szCs w:val="24"/>
        </w:rPr>
        <w:t>Undang-Undang Republik Indonesia Nomor 1 Tahun 2011 tentang Perumahan dan Kawasan Permukiman.</w:t>
      </w:r>
    </w:p>
    <w:p w:rsidR="00877CD1" w:rsidRPr="000C3141" w:rsidRDefault="00877CD1" w:rsidP="00877CD1">
      <w:pPr>
        <w:spacing w:after="0"/>
        <w:ind w:firstLine="720"/>
        <w:jc w:val="both"/>
        <w:rPr>
          <w:rFonts w:ascii="Times New Roman" w:eastAsia="Times New Roman" w:hAnsi="Times New Roman" w:cs="Times New Roman"/>
          <w:sz w:val="24"/>
          <w:szCs w:val="24"/>
        </w:rPr>
      </w:pPr>
      <w:r w:rsidRPr="000C3141">
        <w:rPr>
          <w:rFonts w:ascii="Times New Roman" w:eastAsia="Times New Roman" w:hAnsi="Times New Roman" w:cs="Times New Roman"/>
          <w:sz w:val="24"/>
          <w:szCs w:val="24"/>
        </w:rPr>
        <w:t>Undang-Undang Republik Indonesia Nomor 20 Tahun 2003 tentang Sistem Pendidikan Nasional.</w:t>
      </w:r>
    </w:p>
    <w:p w:rsidR="00877CD1" w:rsidRPr="000C3141" w:rsidRDefault="00877CD1" w:rsidP="00877CD1">
      <w:pPr>
        <w:spacing w:after="0"/>
        <w:ind w:firstLine="720"/>
        <w:jc w:val="both"/>
        <w:rPr>
          <w:rFonts w:ascii="Times New Roman" w:eastAsia="Times New Roman" w:hAnsi="Times New Roman" w:cs="Times New Roman"/>
          <w:sz w:val="24"/>
          <w:szCs w:val="24"/>
        </w:rPr>
      </w:pPr>
      <w:r w:rsidRPr="000C3141">
        <w:rPr>
          <w:rFonts w:ascii="Times New Roman" w:eastAsia="Times New Roman" w:hAnsi="Times New Roman" w:cs="Times New Roman"/>
          <w:sz w:val="24"/>
          <w:szCs w:val="24"/>
        </w:rPr>
        <w:t>Undang-Undang Republik Indonesia Nomor 22 Tahun 2009 tentang Lalu Lintas dan Angkutan Jalan.</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ESRI. (2012). </w:t>
      </w:r>
      <w:r w:rsidRPr="00475045">
        <w:rPr>
          <w:rFonts w:ascii="Times New Roman" w:eastAsia="Times New Roman" w:hAnsi="Times New Roman" w:cs="Times New Roman"/>
          <w:i/>
          <w:iCs/>
          <w:sz w:val="24"/>
          <w:szCs w:val="24"/>
        </w:rPr>
        <w:t>ArcGIS network analyst: Modeling and analyzing networks</w:t>
      </w:r>
      <w:r w:rsidRPr="00475045">
        <w:rPr>
          <w:rFonts w:ascii="Times New Roman" w:eastAsia="Times New Roman" w:hAnsi="Times New Roman" w:cs="Times New Roman"/>
          <w:sz w:val="24"/>
          <w:szCs w:val="24"/>
        </w:rPr>
        <w:t>. Redlands, CA: Environmental Systems Research Institute.</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ESRI. (2018). </w:t>
      </w:r>
      <w:r w:rsidRPr="00475045">
        <w:rPr>
          <w:rFonts w:ascii="Times New Roman" w:eastAsia="Times New Roman" w:hAnsi="Times New Roman" w:cs="Times New Roman"/>
          <w:i/>
          <w:iCs/>
          <w:sz w:val="24"/>
          <w:szCs w:val="24"/>
        </w:rPr>
        <w:t>Service area analysis—ArcGIS desktop help</w:t>
      </w:r>
      <w:r w:rsidRPr="00475045">
        <w:rPr>
          <w:rFonts w:ascii="Times New Roman" w:eastAsia="Times New Roman" w:hAnsi="Times New Roman" w:cs="Times New Roman"/>
          <w:sz w:val="24"/>
          <w:szCs w:val="24"/>
        </w:rPr>
        <w:t>. Redlands, CA: Environmental Systems Research Institute.</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Black, J. A. (1981). </w:t>
      </w:r>
      <w:r w:rsidRPr="00475045">
        <w:rPr>
          <w:rFonts w:ascii="Times New Roman" w:eastAsia="Times New Roman" w:hAnsi="Times New Roman" w:cs="Times New Roman"/>
          <w:i/>
          <w:iCs/>
          <w:sz w:val="24"/>
          <w:szCs w:val="24"/>
        </w:rPr>
        <w:t>Urban transport planning: Theory and practice</w:t>
      </w:r>
      <w:r w:rsidRPr="00475045">
        <w:rPr>
          <w:rFonts w:ascii="Times New Roman" w:eastAsia="Times New Roman" w:hAnsi="Times New Roman" w:cs="Times New Roman"/>
          <w:sz w:val="24"/>
          <w:szCs w:val="24"/>
        </w:rPr>
        <w:t>. London: Croom Helm.</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Branch, M. C. (1995). </w:t>
      </w:r>
      <w:r w:rsidRPr="00475045">
        <w:rPr>
          <w:rFonts w:ascii="Times New Roman" w:eastAsia="Times New Roman" w:hAnsi="Times New Roman" w:cs="Times New Roman"/>
          <w:i/>
          <w:iCs/>
          <w:sz w:val="24"/>
          <w:szCs w:val="24"/>
        </w:rPr>
        <w:t>Comprehensive planning: Introduction &amp; explanation</w:t>
      </w:r>
      <w:r w:rsidRPr="00475045">
        <w:rPr>
          <w:rFonts w:ascii="Times New Roman" w:eastAsia="Times New Roman" w:hAnsi="Times New Roman" w:cs="Times New Roman"/>
          <w:sz w:val="24"/>
          <w:szCs w:val="24"/>
        </w:rPr>
        <w:t>. Chicago: American Planning Association.</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Burrough, P. A. (1986). </w:t>
      </w:r>
      <w:r w:rsidRPr="00475045">
        <w:rPr>
          <w:rFonts w:ascii="Times New Roman" w:eastAsia="Times New Roman" w:hAnsi="Times New Roman" w:cs="Times New Roman"/>
          <w:i/>
          <w:iCs/>
          <w:sz w:val="24"/>
          <w:szCs w:val="24"/>
        </w:rPr>
        <w:t>Principles of geographical information systems for land resources assessment</w:t>
      </w:r>
      <w:r w:rsidRPr="00475045">
        <w:rPr>
          <w:rFonts w:ascii="Times New Roman" w:eastAsia="Times New Roman" w:hAnsi="Times New Roman" w:cs="Times New Roman"/>
          <w:sz w:val="24"/>
          <w:szCs w:val="24"/>
        </w:rPr>
        <w:t>. Oxford: Clarendon Press.</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Chapin, F. S., &amp; Kaiser, E. J. (1979). </w:t>
      </w:r>
      <w:r w:rsidRPr="00475045">
        <w:rPr>
          <w:rFonts w:ascii="Times New Roman" w:eastAsia="Times New Roman" w:hAnsi="Times New Roman" w:cs="Times New Roman"/>
          <w:i/>
          <w:iCs/>
          <w:sz w:val="24"/>
          <w:szCs w:val="24"/>
        </w:rPr>
        <w:t>Urban land use planning</w:t>
      </w:r>
      <w:r w:rsidRPr="00475045">
        <w:rPr>
          <w:rFonts w:ascii="Times New Roman" w:eastAsia="Times New Roman" w:hAnsi="Times New Roman" w:cs="Times New Roman"/>
          <w:sz w:val="24"/>
          <w:szCs w:val="24"/>
        </w:rPr>
        <w:t xml:space="preserve"> (3rd ed.). Urbana: University of Illinois Press.</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Daldjoeni. (1998). </w:t>
      </w:r>
      <w:r w:rsidRPr="00475045">
        <w:rPr>
          <w:rFonts w:ascii="Times New Roman" w:eastAsia="Times New Roman" w:hAnsi="Times New Roman" w:cs="Times New Roman"/>
          <w:i/>
          <w:iCs/>
          <w:sz w:val="24"/>
          <w:szCs w:val="24"/>
        </w:rPr>
        <w:t>Geografi desa dan kota</w:t>
      </w:r>
      <w:r w:rsidRPr="00475045">
        <w:rPr>
          <w:rFonts w:ascii="Times New Roman" w:eastAsia="Times New Roman" w:hAnsi="Times New Roman" w:cs="Times New Roman"/>
          <w:sz w:val="24"/>
          <w:szCs w:val="24"/>
        </w:rPr>
        <w:t>. Bandung: Alumni.</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Hansen, W. G. (1959). How accessibility shapes land use. </w:t>
      </w:r>
      <w:r w:rsidRPr="00475045">
        <w:rPr>
          <w:rFonts w:ascii="Times New Roman" w:eastAsia="Times New Roman" w:hAnsi="Times New Roman" w:cs="Times New Roman"/>
          <w:i/>
          <w:iCs/>
          <w:sz w:val="24"/>
          <w:szCs w:val="24"/>
        </w:rPr>
        <w:t>Journal of the American Institute of Planners</w:t>
      </w:r>
      <w:r w:rsidRPr="00475045">
        <w:rPr>
          <w:rFonts w:ascii="Times New Roman" w:eastAsia="Times New Roman" w:hAnsi="Times New Roman" w:cs="Times New Roman"/>
          <w:sz w:val="24"/>
          <w:szCs w:val="24"/>
        </w:rPr>
        <w:t>, 25(2), 73–76.</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Khisty, C. J., &amp; Lall, B. K. (2005). </w:t>
      </w:r>
      <w:r w:rsidRPr="00475045">
        <w:rPr>
          <w:rFonts w:ascii="Times New Roman" w:eastAsia="Times New Roman" w:hAnsi="Times New Roman" w:cs="Times New Roman"/>
          <w:i/>
          <w:iCs/>
          <w:sz w:val="24"/>
          <w:szCs w:val="24"/>
        </w:rPr>
        <w:t>Transportation engineering: An introduction</w:t>
      </w:r>
      <w:r w:rsidRPr="00475045">
        <w:rPr>
          <w:rFonts w:ascii="Times New Roman" w:eastAsia="Times New Roman" w:hAnsi="Times New Roman" w:cs="Times New Roman"/>
          <w:sz w:val="24"/>
          <w:szCs w:val="24"/>
        </w:rPr>
        <w:t xml:space="preserve"> (3rd ed.). Upper Saddle River, NJ: Prentice Hall.</w:t>
      </w:r>
    </w:p>
    <w:p w:rsidR="00877CD1" w:rsidRPr="00475045" w:rsidRDefault="00877CD1" w:rsidP="00877CD1">
      <w:pPr>
        <w:spacing w:after="0"/>
        <w:ind w:firstLine="720"/>
        <w:jc w:val="both"/>
        <w:rPr>
          <w:rFonts w:ascii="Times New Roman" w:eastAsia="Times New Roman" w:hAnsi="Times New Roman" w:cs="Times New Roman"/>
          <w:sz w:val="24"/>
          <w:szCs w:val="24"/>
        </w:rPr>
      </w:pPr>
      <w:bookmarkStart w:id="4" w:name="_GoBack"/>
      <w:bookmarkEnd w:id="4"/>
      <w:r w:rsidRPr="00475045">
        <w:rPr>
          <w:rFonts w:ascii="Times New Roman" w:eastAsia="Times New Roman" w:hAnsi="Times New Roman" w:cs="Times New Roman"/>
          <w:sz w:val="24"/>
          <w:szCs w:val="24"/>
        </w:rPr>
        <w:lastRenderedPageBreak/>
        <w:t xml:space="preserve">Kotler, P. (2002). </w:t>
      </w:r>
      <w:r w:rsidRPr="00475045">
        <w:rPr>
          <w:rFonts w:ascii="Times New Roman" w:eastAsia="Times New Roman" w:hAnsi="Times New Roman" w:cs="Times New Roman"/>
          <w:i/>
          <w:iCs/>
          <w:sz w:val="24"/>
          <w:szCs w:val="24"/>
        </w:rPr>
        <w:t>Manajemen pemasaran</w:t>
      </w:r>
      <w:r w:rsidRPr="00475045">
        <w:rPr>
          <w:rFonts w:ascii="Times New Roman" w:eastAsia="Times New Roman" w:hAnsi="Times New Roman" w:cs="Times New Roman"/>
          <w:sz w:val="24"/>
          <w:szCs w:val="24"/>
        </w:rPr>
        <w:t>. Jakarta: Prenhallindo.</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Moenir, H. A. S. (2008). </w:t>
      </w:r>
      <w:r w:rsidRPr="00475045">
        <w:rPr>
          <w:rFonts w:ascii="Times New Roman" w:eastAsia="Times New Roman" w:hAnsi="Times New Roman" w:cs="Times New Roman"/>
          <w:i/>
          <w:iCs/>
          <w:sz w:val="24"/>
          <w:szCs w:val="24"/>
        </w:rPr>
        <w:t>Manajemen pelayanan umum di Indonesia</w:t>
      </w:r>
      <w:r w:rsidRPr="00475045">
        <w:rPr>
          <w:rFonts w:ascii="Times New Roman" w:eastAsia="Times New Roman" w:hAnsi="Times New Roman" w:cs="Times New Roman"/>
          <w:sz w:val="24"/>
          <w:szCs w:val="24"/>
        </w:rPr>
        <w:t>. Jakarta: Bumi Aksara.</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Morlok, E. K. (1985). </w:t>
      </w:r>
      <w:r w:rsidRPr="00475045">
        <w:rPr>
          <w:rFonts w:ascii="Times New Roman" w:eastAsia="Times New Roman" w:hAnsi="Times New Roman" w:cs="Times New Roman"/>
          <w:i/>
          <w:iCs/>
          <w:sz w:val="24"/>
          <w:szCs w:val="24"/>
        </w:rPr>
        <w:t>Introduction to transportation engineering and planning</w:t>
      </w:r>
      <w:r w:rsidRPr="00475045">
        <w:rPr>
          <w:rFonts w:ascii="Times New Roman" w:eastAsia="Times New Roman" w:hAnsi="Times New Roman" w:cs="Times New Roman"/>
          <w:sz w:val="24"/>
          <w:szCs w:val="24"/>
        </w:rPr>
        <w:t>. New York: McGraw-Hill.</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Morlok, E. K. (1991). </w:t>
      </w:r>
      <w:r w:rsidRPr="00475045">
        <w:rPr>
          <w:rFonts w:ascii="Times New Roman" w:eastAsia="Times New Roman" w:hAnsi="Times New Roman" w:cs="Times New Roman"/>
          <w:i/>
          <w:iCs/>
          <w:sz w:val="24"/>
          <w:szCs w:val="24"/>
        </w:rPr>
        <w:t>Pengantar teknik dan perencanaan transportasi</w:t>
      </w:r>
      <w:r w:rsidRPr="00475045">
        <w:rPr>
          <w:rFonts w:ascii="Times New Roman" w:eastAsia="Times New Roman" w:hAnsi="Times New Roman" w:cs="Times New Roman"/>
          <w:sz w:val="24"/>
          <w:szCs w:val="24"/>
        </w:rPr>
        <w:t>. Jakarta: Erlangga.</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Nugraha, A. (2020). Aksesibilitas pendidikan di wilayah perdesaan. </w:t>
      </w:r>
      <w:r w:rsidRPr="00475045">
        <w:rPr>
          <w:rFonts w:ascii="Times New Roman" w:eastAsia="Times New Roman" w:hAnsi="Times New Roman" w:cs="Times New Roman"/>
          <w:i/>
          <w:iCs/>
          <w:sz w:val="24"/>
          <w:szCs w:val="24"/>
        </w:rPr>
        <w:t>Jurnal Perencanaan Wilayah dan Kota</w:t>
      </w:r>
      <w:r w:rsidRPr="00475045">
        <w:rPr>
          <w:rFonts w:ascii="Times New Roman" w:eastAsia="Times New Roman" w:hAnsi="Times New Roman" w:cs="Times New Roman"/>
          <w:sz w:val="24"/>
          <w:szCs w:val="24"/>
        </w:rPr>
        <w:t>, 31(2), 145–156.</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Sitorus, O. (2012). </w:t>
      </w:r>
      <w:r w:rsidRPr="00475045">
        <w:rPr>
          <w:rFonts w:ascii="Times New Roman" w:eastAsia="Times New Roman" w:hAnsi="Times New Roman" w:cs="Times New Roman"/>
          <w:i/>
          <w:iCs/>
          <w:sz w:val="24"/>
          <w:szCs w:val="24"/>
        </w:rPr>
        <w:t>Perencanaan fasilitas pelayanan umum</w:t>
      </w:r>
      <w:r w:rsidRPr="00475045">
        <w:rPr>
          <w:rFonts w:ascii="Times New Roman" w:eastAsia="Times New Roman" w:hAnsi="Times New Roman" w:cs="Times New Roman"/>
          <w:sz w:val="24"/>
          <w:szCs w:val="24"/>
        </w:rPr>
        <w:t>. Jakarta: Penerbit UI Press.</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Slameto. (2010). </w:t>
      </w:r>
      <w:r w:rsidRPr="00475045">
        <w:rPr>
          <w:rFonts w:ascii="Times New Roman" w:eastAsia="Times New Roman" w:hAnsi="Times New Roman" w:cs="Times New Roman"/>
          <w:i/>
          <w:iCs/>
          <w:sz w:val="24"/>
          <w:szCs w:val="24"/>
        </w:rPr>
        <w:t>Belajar dan faktor-faktor yang mempengaruhinya</w:t>
      </w:r>
      <w:r w:rsidRPr="00475045">
        <w:rPr>
          <w:rFonts w:ascii="Times New Roman" w:eastAsia="Times New Roman" w:hAnsi="Times New Roman" w:cs="Times New Roman"/>
          <w:sz w:val="24"/>
          <w:szCs w:val="24"/>
        </w:rPr>
        <w:t>. Jakarta: Rineka Cipta.</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Sutomo, S. (2016). </w:t>
      </w:r>
      <w:r w:rsidRPr="00475045">
        <w:rPr>
          <w:rFonts w:ascii="Times New Roman" w:eastAsia="Times New Roman" w:hAnsi="Times New Roman" w:cs="Times New Roman"/>
          <w:i/>
          <w:iCs/>
          <w:sz w:val="24"/>
          <w:szCs w:val="24"/>
        </w:rPr>
        <w:t>Perencanaan fasilitas sosial dan fasilitas umum</w:t>
      </w:r>
      <w:r w:rsidRPr="00475045">
        <w:rPr>
          <w:rFonts w:ascii="Times New Roman" w:eastAsia="Times New Roman" w:hAnsi="Times New Roman" w:cs="Times New Roman"/>
          <w:sz w:val="24"/>
          <w:szCs w:val="24"/>
        </w:rPr>
        <w:t>. Yogyakarta: Pustaka Pelajar.</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Tamin, O. Z. (2000). </w:t>
      </w:r>
      <w:r w:rsidRPr="00475045">
        <w:rPr>
          <w:rFonts w:ascii="Times New Roman" w:eastAsia="Times New Roman" w:hAnsi="Times New Roman" w:cs="Times New Roman"/>
          <w:i/>
          <w:iCs/>
          <w:sz w:val="24"/>
          <w:szCs w:val="24"/>
        </w:rPr>
        <w:t>Perencanaan dan pemodelan transportasi</w:t>
      </w:r>
      <w:r w:rsidRPr="00475045">
        <w:rPr>
          <w:rFonts w:ascii="Times New Roman" w:eastAsia="Times New Roman" w:hAnsi="Times New Roman" w:cs="Times New Roman"/>
          <w:sz w:val="24"/>
          <w:szCs w:val="24"/>
        </w:rPr>
        <w:t>. Bandung: ITB Press.</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Warpani, S. (1990). </w:t>
      </w:r>
      <w:r w:rsidRPr="00475045">
        <w:rPr>
          <w:rFonts w:ascii="Times New Roman" w:eastAsia="Times New Roman" w:hAnsi="Times New Roman" w:cs="Times New Roman"/>
          <w:i/>
          <w:iCs/>
          <w:sz w:val="24"/>
          <w:szCs w:val="24"/>
        </w:rPr>
        <w:t>Merencanakan sistem perangkutan</w:t>
      </w:r>
      <w:r w:rsidRPr="00475045">
        <w:rPr>
          <w:rFonts w:ascii="Times New Roman" w:eastAsia="Times New Roman" w:hAnsi="Times New Roman" w:cs="Times New Roman"/>
          <w:sz w:val="24"/>
          <w:szCs w:val="24"/>
        </w:rPr>
        <w:t>. Bandung: ITB Press.</w:t>
      </w:r>
    </w:p>
    <w:p w:rsidR="00877CD1" w:rsidRPr="00475045" w:rsidRDefault="00877CD1" w:rsidP="00877CD1">
      <w:pPr>
        <w:spacing w:after="0"/>
        <w:ind w:firstLine="720"/>
        <w:jc w:val="both"/>
        <w:rPr>
          <w:rFonts w:ascii="Times New Roman" w:eastAsia="Times New Roman" w:hAnsi="Times New Roman" w:cs="Times New Roman"/>
          <w:sz w:val="24"/>
          <w:szCs w:val="24"/>
        </w:rPr>
      </w:pPr>
      <w:r w:rsidRPr="00475045">
        <w:rPr>
          <w:rFonts w:ascii="Times New Roman" w:eastAsia="Times New Roman" w:hAnsi="Times New Roman" w:cs="Times New Roman"/>
          <w:sz w:val="24"/>
          <w:szCs w:val="24"/>
        </w:rPr>
        <w:t xml:space="preserve">Warpani, S. (2002). </w:t>
      </w:r>
      <w:r w:rsidRPr="00475045">
        <w:rPr>
          <w:rFonts w:ascii="Times New Roman" w:eastAsia="Times New Roman" w:hAnsi="Times New Roman" w:cs="Times New Roman"/>
          <w:i/>
          <w:iCs/>
          <w:sz w:val="24"/>
          <w:szCs w:val="24"/>
        </w:rPr>
        <w:t>Pengelolaan lalu lintas dan angkutan jalan</w:t>
      </w:r>
      <w:r w:rsidRPr="00475045">
        <w:rPr>
          <w:rFonts w:ascii="Times New Roman" w:eastAsia="Times New Roman" w:hAnsi="Times New Roman" w:cs="Times New Roman"/>
          <w:sz w:val="24"/>
          <w:szCs w:val="24"/>
        </w:rPr>
        <w:t>. Bandung: ITB Press.</w:t>
      </w:r>
    </w:p>
    <w:p w:rsidR="00877CD1" w:rsidRPr="00877CD1" w:rsidRDefault="00877CD1" w:rsidP="00877CD1">
      <w:r w:rsidRPr="00475045">
        <w:rPr>
          <w:rFonts w:ascii="Times New Roman" w:eastAsia="Times New Roman" w:hAnsi="Times New Roman" w:cs="Times New Roman"/>
          <w:sz w:val="24"/>
          <w:szCs w:val="24"/>
        </w:rPr>
        <w:t xml:space="preserve">Yunus, H. S. (2008). </w:t>
      </w:r>
      <w:r w:rsidRPr="00475045">
        <w:rPr>
          <w:rFonts w:ascii="Times New Roman" w:eastAsia="Times New Roman" w:hAnsi="Times New Roman" w:cs="Times New Roman"/>
          <w:i/>
          <w:iCs/>
          <w:sz w:val="24"/>
          <w:szCs w:val="24"/>
        </w:rPr>
        <w:t>Manajemen kota: Perspektif spasial</w:t>
      </w:r>
      <w:r>
        <w:rPr>
          <w:rFonts w:ascii="Times New Roman" w:eastAsia="Times New Roman" w:hAnsi="Times New Roman" w:cs="Times New Roman"/>
          <w:sz w:val="24"/>
          <w:szCs w:val="24"/>
        </w:rPr>
        <w:t xml:space="preserve">. Yogyakarta </w:t>
      </w:r>
      <w:r w:rsidRPr="00475045">
        <w:rPr>
          <w:rFonts w:ascii="Times New Roman" w:eastAsia="Times New Roman" w:hAnsi="Times New Roman" w:cs="Times New Roman"/>
          <w:sz w:val="24"/>
          <w:szCs w:val="24"/>
        </w:rPr>
        <w:t>: Pustaka</w:t>
      </w:r>
      <w:r>
        <w:rPr>
          <w:rFonts w:ascii="Times New Roman" w:eastAsia="Times New Roman" w:hAnsi="Times New Roman" w:cs="Times New Roman"/>
          <w:sz w:val="24"/>
          <w:szCs w:val="24"/>
        </w:rPr>
        <w:t xml:space="preserve"> </w:t>
      </w:r>
      <w:r w:rsidRPr="00475045">
        <w:rPr>
          <w:rFonts w:ascii="Times New Roman" w:eastAsia="Times New Roman" w:hAnsi="Times New Roman" w:cs="Times New Roman"/>
          <w:sz w:val="24"/>
          <w:szCs w:val="24"/>
        </w:rPr>
        <w:t>Pelajar.</w:t>
      </w:r>
    </w:p>
    <w:sectPr w:rsidR="00877CD1" w:rsidRPr="00877CD1" w:rsidSect="00877CD1">
      <w:footerReference w:type="default" r:id="rId9"/>
      <w:pgSz w:w="11907" w:h="16840" w:code="9"/>
      <w:pgMar w:top="1701" w:right="1701" w:bottom="1701" w:left="2268" w:header="709" w:footer="709" w:gutter="0"/>
      <w:pgNumType w:start="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07" w:rsidRDefault="00BD2C07" w:rsidP="00877CD1">
      <w:pPr>
        <w:spacing w:after="0" w:line="240" w:lineRule="auto"/>
      </w:pPr>
      <w:r>
        <w:separator/>
      </w:r>
    </w:p>
  </w:endnote>
  <w:endnote w:type="continuationSeparator" w:id="0">
    <w:p w:rsidR="00BD2C07" w:rsidRDefault="00BD2C07" w:rsidP="0087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81393269"/>
      <w:docPartObj>
        <w:docPartGallery w:val="Page Numbers (Bottom of Page)"/>
        <w:docPartUnique/>
      </w:docPartObj>
    </w:sdtPr>
    <w:sdtEndPr>
      <w:rPr>
        <w:noProof/>
        <w:szCs w:val="22"/>
      </w:rPr>
    </w:sdtEndPr>
    <w:sdtContent>
      <w:p w:rsidR="00877CD1" w:rsidRPr="00B462E4" w:rsidRDefault="00877CD1" w:rsidP="00877CD1">
        <w:pPr>
          <w:pStyle w:val="Footer"/>
          <w:jc w:val="right"/>
          <w:rPr>
            <w:rFonts w:ascii="Times New Roman" w:hAnsi="Times New Roman" w:cs="Times New Roman"/>
            <w:sz w:val="24"/>
          </w:rPr>
        </w:pPr>
        <w:r w:rsidRPr="00803D3F">
          <w:rPr>
            <w:rFonts w:ascii="Times New Roman" w:hAnsi="Times New Roman" w:cs="Times New Roman"/>
            <w:sz w:val="24"/>
            <w:szCs w:val="24"/>
          </w:rPr>
          <w:fldChar w:fldCharType="begin"/>
        </w:r>
        <w:r w:rsidRPr="00803D3F">
          <w:rPr>
            <w:rFonts w:ascii="Times New Roman" w:hAnsi="Times New Roman" w:cs="Times New Roman"/>
            <w:sz w:val="24"/>
            <w:szCs w:val="24"/>
          </w:rPr>
          <w:instrText xml:space="preserve"> PAGE   \* MERGEFORMAT </w:instrText>
        </w:r>
        <w:r w:rsidRPr="00803D3F">
          <w:rPr>
            <w:rFonts w:ascii="Times New Roman" w:hAnsi="Times New Roman" w:cs="Times New Roman"/>
            <w:sz w:val="24"/>
            <w:szCs w:val="24"/>
          </w:rPr>
          <w:fldChar w:fldCharType="separate"/>
        </w:r>
        <w:r>
          <w:rPr>
            <w:rFonts w:ascii="Times New Roman" w:hAnsi="Times New Roman" w:cs="Times New Roman"/>
            <w:noProof/>
            <w:sz w:val="24"/>
            <w:szCs w:val="24"/>
          </w:rPr>
          <w:t>93</w:t>
        </w:r>
        <w:r w:rsidRPr="00803D3F">
          <w:rPr>
            <w:rFonts w:ascii="Times New Roman" w:hAnsi="Times New Roman" w:cs="Times New Roman"/>
            <w:noProof/>
            <w:sz w:val="24"/>
            <w:szCs w:val="24"/>
          </w:rPr>
          <w:fldChar w:fldCharType="end"/>
        </w:r>
      </w:p>
    </w:sdtContent>
  </w:sdt>
  <w:p w:rsidR="00877CD1" w:rsidRPr="00877CD1" w:rsidRDefault="00877CD1" w:rsidP="00877CD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07" w:rsidRDefault="00BD2C07" w:rsidP="00877CD1">
      <w:pPr>
        <w:spacing w:after="0" w:line="240" w:lineRule="auto"/>
      </w:pPr>
      <w:r>
        <w:separator/>
      </w:r>
    </w:p>
  </w:footnote>
  <w:footnote w:type="continuationSeparator" w:id="0">
    <w:p w:rsidR="00BD2C07" w:rsidRDefault="00BD2C07" w:rsidP="00877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018"/>
    <w:multiLevelType w:val="multilevel"/>
    <w:tmpl w:val="3BE676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B926D57"/>
    <w:multiLevelType w:val="multilevel"/>
    <w:tmpl w:val="BD18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A36102"/>
    <w:multiLevelType w:val="hybridMultilevel"/>
    <w:tmpl w:val="5EAE8E32"/>
    <w:lvl w:ilvl="0" w:tplc="B1801F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D1"/>
    <w:rsid w:val="00071350"/>
    <w:rsid w:val="001258E9"/>
    <w:rsid w:val="001C4D84"/>
    <w:rsid w:val="002628B9"/>
    <w:rsid w:val="00632C48"/>
    <w:rsid w:val="0066424B"/>
    <w:rsid w:val="008272B7"/>
    <w:rsid w:val="00877CD1"/>
    <w:rsid w:val="0091677D"/>
    <w:rsid w:val="00997840"/>
    <w:rsid w:val="00B45D0F"/>
    <w:rsid w:val="00BC2FF7"/>
    <w:rsid w:val="00BD2C07"/>
    <w:rsid w:val="00BE1899"/>
    <w:rsid w:val="00D81294"/>
    <w:rsid w:val="00DC55C4"/>
    <w:rsid w:val="00DF5D42"/>
    <w:rsid w:val="00E01ECF"/>
    <w:rsid w:val="00ED2FE1"/>
    <w:rsid w:val="00F0719D"/>
    <w:rsid w:val="00F9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D1"/>
  </w:style>
  <w:style w:type="paragraph" w:styleId="Heading1">
    <w:name w:val="heading 1"/>
    <w:basedOn w:val="Normal"/>
    <w:next w:val="Normal"/>
    <w:link w:val="Heading1Char"/>
    <w:uiPriority w:val="9"/>
    <w:qFormat/>
    <w:rsid w:val="00877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D1"/>
  </w:style>
  <w:style w:type="paragraph" w:styleId="Footer">
    <w:name w:val="footer"/>
    <w:basedOn w:val="Normal"/>
    <w:link w:val="FooterChar"/>
    <w:uiPriority w:val="99"/>
    <w:unhideWhenUsed/>
    <w:rsid w:val="0087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D1"/>
  </w:style>
  <w:style w:type="character" w:customStyle="1" w:styleId="Heading1Char">
    <w:name w:val="Heading 1 Char"/>
    <w:basedOn w:val="DefaultParagraphFont"/>
    <w:link w:val="Heading1"/>
    <w:uiPriority w:val="9"/>
    <w:rsid w:val="00877CD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77CD1"/>
    <w:pPr>
      <w:ind w:left="720"/>
      <w:contextualSpacing/>
    </w:pPr>
  </w:style>
  <w:style w:type="character" w:styleId="Hyperlink">
    <w:name w:val="Hyperlink"/>
    <w:basedOn w:val="DefaultParagraphFont"/>
    <w:uiPriority w:val="99"/>
    <w:unhideWhenUsed/>
    <w:rsid w:val="00877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D1"/>
  </w:style>
  <w:style w:type="paragraph" w:styleId="Heading1">
    <w:name w:val="heading 1"/>
    <w:basedOn w:val="Normal"/>
    <w:next w:val="Normal"/>
    <w:link w:val="Heading1Char"/>
    <w:uiPriority w:val="9"/>
    <w:qFormat/>
    <w:rsid w:val="00877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D1"/>
  </w:style>
  <w:style w:type="paragraph" w:styleId="Footer">
    <w:name w:val="footer"/>
    <w:basedOn w:val="Normal"/>
    <w:link w:val="FooterChar"/>
    <w:uiPriority w:val="99"/>
    <w:unhideWhenUsed/>
    <w:rsid w:val="0087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D1"/>
  </w:style>
  <w:style w:type="character" w:customStyle="1" w:styleId="Heading1Char">
    <w:name w:val="Heading 1 Char"/>
    <w:basedOn w:val="DefaultParagraphFont"/>
    <w:link w:val="Heading1"/>
    <w:uiPriority w:val="9"/>
    <w:rsid w:val="00877CD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77CD1"/>
    <w:pPr>
      <w:ind w:left="720"/>
      <w:contextualSpacing/>
    </w:pPr>
  </w:style>
  <w:style w:type="character" w:styleId="Hyperlink">
    <w:name w:val="Hyperlink"/>
    <w:basedOn w:val="DefaultParagraphFont"/>
    <w:uiPriority w:val="99"/>
    <w:unhideWhenUsed/>
    <w:rsid w:val="00877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po.kemdikbud.g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2026-03-09T08:30:00Z</dcterms:created>
  <dcterms:modified xsi:type="dcterms:W3CDTF">2026-03-09T08:34:00Z</dcterms:modified>
</cp:coreProperties>
</file>