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DF" w:rsidRDefault="005765DF" w:rsidP="005765DF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Lampiran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765DF" w:rsidRDefault="005765DF" w:rsidP="005765DF">
      <w:pPr>
        <w:pStyle w:val="ListParagraph"/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ListParagraph"/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060B0">
        <w:rPr>
          <w:rFonts w:ascii="Times New Roman" w:hAnsi="Times New Roman"/>
          <w:b/>
          <w:sz w:val="24"/>
          <w:szCs w:val="24"/>
        </w:rPr>
        <w:t>Daftar</w:t>
      </w:r>
      <w:proofErr w:type="spellEnd"/>
      <w:r w:rsidRPr="00E060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60B0">
        <w:rPr>
          <w:rFonts w:ascii="Times New Roman" w:hAnsi="Times New Roman"/>
          <w:b/>
          <w:sz w:val="24"/>
          <w:szCs w:val="24"/>
        </w:rPr>
        <w:t>Nama</w:t>
      </w:r>
      <w:proofErr w:type="spellEnd"/>
      <w:r w:rsidRPr="00E060B0">
        <w:rPr>
          <w:rFonts w:ascii="Times New Roman" w:hAnsi="Times New Roman"/>
          <w:b/>
          <w:sz w:val="24"/>
          <w:szCs w:val="24"/>
        </w:rPr>
        <w:t xml:space="preserve"> Perusahaan </w:t>
      </w:r>
      <w:proofErr w:type="spellStart"/>
      <w:r w:rsidRPr="00E060B0">
        <w:rPr>
          <w:rFonts w:ascii="Times New Roman" w:hAnsi="Times New Roman"/>
          <w:b/>
          <w:sz w:val="24"/>
          <w:szCs w:val="24"/>
        </w:rPr>
        <w:t>Sampel</w:t>
      </w:r>
      <w:proofErr w:type="spellEnd"/>
    </w:p>
    <w:tbl>
      <w:tblPr>
        <w:tblStyle w:val="TableGrid"/>
        <w:tblW w:w="0" w:type="auto"/>
        <w:tblInd w:w="648" w:type="dxa"/>
        <w:tblLook w:val="04A0"/>
      </w:tblPr>
      <w:tblGrid>
        <w:gridCol w:w="558"/>
        <w:gridCol w:w="990"/>
        <w:gridCol w:w="5859"/>
      </w:tblGrid>
      <w:tr w:rsidR="005765DF" w:rsidTr="00644C79">
        <w:tc>
          <w:tcPr>
            <w:tcW w:w="558" w:type="dxa"/>
          </w:tcPr>
          <w:p w:rsidR="005765DF" w:rsidRPr="004A01FD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5765DF" w:rsidRPr="004A01FD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1FD">
              <w:rPr>
                <w:rFonts w:ascii="Times New Roman" w:hAnsi="Times New Roman"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5859" w:type="dxa"/>
          </w:tcPr>
          <w:p w:rsidR="005765DF" w:rsidRPr="004A01FD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1FD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4A01FD">
              <w:rPr>
                <w:rFonts w:ascii="Times New Roman" w:hAnsi="Times New Roman"/>
                <w:sz w:val="24"/>
                <w:szCs w:val="24"/>
              </w:rPr>
              <w:t xml:space="preserve"> Perusahaan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ABDA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Asuransi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Bina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Dana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Arta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AGRO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Rakyat Indonesia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Agroniaga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APIC 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Pacific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Stategic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Financial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ASBI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Asuransi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Bintang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ASDM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Asuransi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Dayin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Mitra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ASRM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Asuransi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Ramayana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BABP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ICB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Bumiputera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BACA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Capital Indonesia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BAEK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Raharja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BBCA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Central Asia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BBKP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Bukopin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BBLD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Buana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Finance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BBNI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Bank Negara Indonesia (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Persero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BBNP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Nusantara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Parahyangan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BBRI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Bank Rakyat Indonesia (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Persero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BBTN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Bank Tabungan Negara (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Persero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BDMN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Danamon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BFIN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BFI Finance Indonesia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BNBA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Bumi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Arta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BNGA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CIMB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Niaga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BPFI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Batavia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Prosperindo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Finance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BSWD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Bank of India Indonesia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MFIN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Mandala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Multifinance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PNLF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Panin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 xml:space="preserve"> Financial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5DF" w:rsidRPr="0031504F" w:rsidTr="00644C79">
        <w:tc>
          <w:tcPr>
            <w:tcW w:w="558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</w:tcPr>
          <w:p w:rsidR="005765DF" w:rsidRPr="0031504F" w:rsidRDefault="005765DF" w:rsidP="00644C7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>TRUS</w:t>
            </w:r>
          </w:p>
        </w:tc>
        <w:tc>
          <w:tcPr>
            <w:tcW w:w="5859" w:type="dxa"/>
          </w:tcPr>
          <w:p w:rsidR="005765DF" w:rsidRPr="0031504F" w:rsidRDefault="005765DF" w:rsidP="00644C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4F">
              <w:rPr>
                <w:rFonts w:ascii="Times New Roman" w:hAnsi="Times New Roman"/>
                <w:sz w:val="24"/>
                <w:szCs w:val="24"/>
              </w:rPr>
              <w:t xml:space="preserve">Trust Financial Indonesia </w:t>
            </w:r>
            <w:proofErr w:type="spellStart"/>
            <w:r w:rsidRPr="0031504F">
              <w:rPr>
                <w:rFonts w:ascii="Times New Roman" w:hAnsi="Times New Roman"/>
                <w:sz w:val="24"/>
                <w:szCs w:val="24"/>
              </w:rPr>
              <w:t>Tbk</w:t>
            </w:r>
            <w:proofErr w:type="spellEnd"/>
            <w:r w:rsidRPr="0031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765DF" w:rsidRPr="0031504F" w:rsidRDefault="005765DF" w:rsidP="005765DF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data IDX yang </w:t>
      </w:r>
      <w:proofErr w:type="spellStart"/>
      <w:r>
        <w:rPr>
          <w:rFonts w:ascii="Times New Roman" w:hAnsi="Times New Roman"/>
          <w:sz w:val="24"/>
          <w:szCs w:val="24"/>
        </w:rPr>
        <w:t>diolah</w:t>
      </w:r>
      <w:proofErr w:type="spellEnd"/>
      <w:r>
        <w:rPr>
          <w:rFonts w:ascii="Times New Roman" w:hAnsi="Times New Roman"/>
          <w:sz w:val="24"/>
          <w:szCs w:val="24"/>
        </w:rPr>
        <w:t>, 2015</w:t>
      </w: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Descriptives</w:t>
      </w:r>
      <w:proofErr w:type="spellEnd"/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drawing>
          <wp:inline distT="0" distB="0" distL="0" distR="0">
            <wp:extent cx="5972175" cy="1809750"/>
            <wp:effectExtent l="19050" t="0" r="9525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Pr="00A03D73" w:rsidRDefault="005765DF" w:rsidP="005765DF">
      <w:pPr>
        <w:tabs>
          <w:tab w:val="left" w:pos="3517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703780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7037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3780">
        <w:rPr>
          <w:rFonts w:ascii="Times New Roman" w:hAnsi="Times New Roman"/>
          <w:b/>
          <w:sz w:val="24"/>
          <w:szCs w:val="24"/>
        </w:rPr>
        <w:t>Asumsi</w:t>
      </w:r>
      <w:proofErr w:type="spellEnd"/>
      <w:r w:rsidRPr="007037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3780">
        <w:rPr>
          <w:rFonts w:ascii="Times New Roman" w:hAnsi="Times New Roman"/>
          <w:b/>
          <w:sz w:val="24"/>
          <w:szCs w:val="24"/>
        </w:rPr>
        <w:t>Klasik</w:t>
      </w:r>
      <w:proofErr w:type="spellEnd"/>
    </w:p>
    <w:p w:rsidR="005765DF" w:rsidRPr="00703780" w:rsidRDefault="005765DF" w:rsidP="005765DF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Normalitas</w:t>
      </w:r>
      <w:proofErr w:type="spellEnd"/>
    </w:p>
    <w:p w:rsidR="005765DF" w:rsidRDefault="005765DF" w:rsidP="005765DF">
      <w:pPr>
        <w:tabs>
          <w:tab w:val="left" w:pos="3517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:rsidR="005765DF" w:rsidRPr="00703780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03780">
        <w:rPr>
          <w:rFonts w:ascii="Times New Roman" w:hAnsi="Times New Roman"/>
          <w:sz w:val="24"/>
          <w:szCs w:val="24"/>
        </w:rPr>
        <w:t>Sebelum</w:t>
      </w:r>
      <w:proofErr w:type="spellEnd"/>
      <w:r w:rsidRPr="007037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780">
        <w:rPr>
          <w:rFonts w:ascii="Times New Roman" w:hAnsi="Times New Roman"/>
          <w:sz w:val="24"/>
          <w:szCs w:val="24"/>
        </w:rPr>
        <w:t>dilakukan</w:t>
      </w:r>
      <w:proofErr w:type="spellEnd"/>
      <w:r w:rsidRPr="007037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780">
        <w:rPr>
          <w:rFonts w:ascii="Times New Roman" w:hAnsi="Times New Roman"/>
          <w:i/>
          <w:sz w:val="24"/>
          <w:szCs w:val="24"/>
        </w:rPr>
        <w:t>Logaritma</w:t>
      </w:r>
      <w:proofErr w:type="spellEnd"/>
      <w:r w:rsidRPr="00703780">
        <w:rPr>
          <w:rFonts w:ascii="Times New Roman" w:hAnsi="Times New Roman"/>
          <w:i/>
          <w:sz w:val="24"/>
          <w:szCs w:val="24"/>
        </w:rPr>
        <w:t xml:space="preserve"> Natural</w:t>
      </w:r>
      <w:r w:rsidRPr="00703780">
        <w:rPr>
          <w:rFonts w:ascii="Times New Roman" w:hAnsi="Times New Roman"/>
          <w:sz w:val="24"/>
          <w:szCs w:val="24"/>
        </w:rPr>
        <w:t xml:space="preserve"> (LN)</w:t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drawing>
          <wp:inline distT="0" distB="0" distL="0" distR="0">
            <wp:extent cx="6181725" cy="20097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spellStart"/>
      <w:r w:rsidRPr="00703780">
        <w:rPr>
          <w:rFonts w:ascii="Times New Roman" w:hAnsi="Times New Roman"/>
          <w:sz w:val="24"/>
          <w:szCs w:val="24"/>
        </w:rPr>
        <w:t>Setelah</w:t>
      </w:r>
      <w:proofErr w:type="spellEnd"/>
      <w:r w:rsidRPr="007037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780">
        <w:rPr>
          <w:rFonts w:ascii="Times New Roman" w:hAnsi="Times New Roman"/>
          <w:sz w:val="24"/>
          <w:szCs w:val="24"/>
        </w:rPr>
        <w:t>dilakukan</w:t>
      </w:r>
      <w:proofErr w:type="spellEnd"/>
      <w:r w:rsidRPr="007037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780">
        <w:rPr>
          <w:rFonts w:ascii="Times New Roman" w:hAnsi="Times New Roman"/>
          <w:i/>
          <w:sz w:val="24"/>
          <w:szCs w:val="24"/>
        </w:rPr>
        <w:t>Logaritma</w:t>
      </w:r>
      <w:proofErr w:type="spellEnd"/>
      <w:r w:rsidRPr="00703780">
        <w:rPr>
          <w:rFonts w:ascii="Times New Roman" w:hAnsi="Times New Roman"/>
          <w:i/>
          <w:sz w:val="24"/>
          <w:szCs w:val="24"/>
        </w:rPr>
        <w:t xml:space="preserve"> Natural</w:t>
      </w:r>
      <w:r w:rsidRPr="00703780">
        <w:rPr>
          <w:rFonts w:ascii="Times New Roman" w:hAnsi="Times New Roman"/>
          <w:sz w:val="24"/>
          <w:szCs w:val="24"/>
        </w:rPr>
        <w:t xml:space="preserve"> (LN</w:t>
      </w:r>
      <w:r>
        <w:rPr>
          <w:rFonts w:ascii="Courier New" w:hAnsi="Courier New" w:cs="Courier New"/>
          <w:sz w:val="24"/>
          <w:szCs w:val="24"/>
        </w:rPr>
        <w:t>)</w:t>
      </w:r>
    </w:p>
    <w:p w:rsidR="005765DF" w:rsidRPr="00A03D73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drawing>
          <wp:inline distT="0" distB="0" distL="0" distR="0">
            <wp:extent cx="6029325" cy="2105025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Pr="00703780" w:rsidRDefault="005765DF" w:rsidP="005765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03780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7037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3780">
        <w:rPr>
          <w:rFonts w:ascii="Times New Roman" w:hAnsi="Times New Roman"/>
          <w:b/>
          <w:sz w:val="24"/>
          <w:szCs w:val="24"/>
        </w:rPr>
        <w:t>Multikolinearitas</w:t>
      </w:r>
      <w:proofErr w:type="spellEnd"/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lastRenderedPageBreak/>
        <w:drawing>
          <wp:inline distT="0" distB="0" distL="0" distR="0">
            <wp:extent cx="3257550" cy="1828800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5DF" w:rsidRPr="00703780" w:rsidRDefault="005765DF" w:rsidP="005765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765DF" w:rsidRPr="00703780" w:rsidRDefault="005765DF" w:rsidP="005765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03780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70378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703780">
        <w:rPr>
          <w:rFonts w:ascii="Times New Roman" w:hAnsi="Times New Roman"/>
          <w:b/>
          <w:sz w:val="24"/>
          <w:szCs w:val="24"/>
        </w:rPr>
        <w:t>Heteroskedastisitas</w:t>
      </w:r>
      <w:proofErr w:type="spellEnd"/>
      <w:proofErr w:type="gramEnd"/>
      <w:r w:rsidRPr="0070378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703780">
        <w:rPr>
          <w:rFonts w:ascii="Times New Roman" w:hAnsi="Times New Roman"/>
          <w:b/>
          <w:sz w:val="24"/>
          <w:szCs w:val="24"/>
        </w:rPr>
        <w:t>Glejser</w:t>
      </w:r>
      <w:proofErr w:type="spellEnd"/>
      <w:r w:rsidRPr="00703780">
        <w:rPr>
          <w:rFonts w:ascii="Times New Roman" w:hAnsi="Times New Roman"/>
          <w:b/>
          <w:sz w:val="24"/>
          <w:szCs w:val="24"/>
        </w:rPr>
        <w:t>)</w:t>
      </w:r>
    </w:p>
    <w:p w:rsidR="005765DF" w:rsidRDefault="005765DF" w:rsidP="005765DF">
      <w:pPr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765DF" w:rsidRDefault="005765DF" w:rsidP="005765DF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Regression</w:t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drawing>
          <wp:inline distT="0" distB="0" distL="0" distR="0">
            <wp:extent cx="5553075" cy="2152650"/>
            <wp:effectExtent l="19050" t="0" r="9525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Pr="00703780" w:rsidRDefault="005765DF" w:rsidP="005765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03780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70378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703780">
        <w:rPr>
          <w:rFonts w:ascii="Times New Roman" w:hAnsi="Times New Roman"/>
          <w:b/>
          <w:sz w:val="24"/>
          <w:szCs w:val="24"/>
        </w:rPr>
        <w:t>Autokorelasi</w:t>
      </w:r>
      <w:proofErr w:type="spellEnd"/>
      <w:proofErr w:type="gramEnd"/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System" w:hAnsi="System" w:cs="System"/>
          <w:b/>
          <w:noProof/>
          <w:sz w:val="20"/>
          <w:szCs w:val="20"/>
        </w:rPr>
        <w:drawing>
          <wp:inline distT="0" distB="0" distL="0" distR="0">
            <wp:extent cx="2790825" cy="1609725"/>
            <wp:effectExtent l="19050" t="0" r="9525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Pr="00CC151A" w:rsidRDefault="005765DF" w:rsidP="005765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Pengujian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Hipotesis</w:t>
      </w:r>
      <w:proofErr w:type="spellEnd"/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Regression</w:t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[DataSet0]</w:t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drawing>
          <wp:inline distT="0" distB="0" distL="0" distR="0">
            <wp:extent cx="2857500" cy="2628900"/>
            <wp:effectExtent l="19050" t="0" r="0" b="0"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drawing>
          <wp:inline distT="0" distB="0" distL="0" distR="0">
            <wp:extent cx="3600450" cy="1409700"/>
            <wp:effectExtent l="19050" t="0" r="0" b="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drawing>
          <wp:inline distT="0" distB="0" distL="0" distR="0">
            <wp:extent cx="5095875" cy="1809750"/>
            <wp:effectExtent l="19050" t="0" r="9525" b="0"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765DF" w:rsidRDefault="005765DF" w:rsidP="005765DF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noProof/>
          <w:sz w:val="20"/>
          <w:szCs w:val="20"/>
        </w:rPr>
        <w:lastRenderedPageBreak/>
        <w:drawing>
          <wp:inline distT="0" distB="0" distL="0" distR="0">
            <wp:extent cx="5553075" cy="2162175"/>
            <wp:effectExtent l="19050" t="0" r="9525" b="0"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DF" w:rsidRPr="00013DE2" w:rsidRDefault="005765DF" w:rsidP="005765DF">
      <w:pPr>
        <w:spacing w:line="480" w:lineRule="auto"/>
        <w:ind w:left="990" w:hanging="990"/>
        <w:jc w:val="both"/>
        <w:rPr>
          <w:rFonts w:ascii="Times New Roman" w:eastAsiaTheme="minorHAnsi" w:hAnsi="Times New Roman"/>
          <w:sz w:val="24"/>
          <w:szCs w:val="24"/>
        </w:rPr>
      </w:pPr>
    </w:p>
    <w:p w:rsidR="005765DF" w:rsidRPr="0084145D" w:rsidRDefault="005765DF" w:rsidP="005765DF">
      <w:pPr>
        <w:spacing w:line="48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65DF" w:rsidRDefault="005765DF" w:rsidP="005765DF">
      <w:pPr>
        <w:pStyle w:val="ListParagraph"/>
        <w:spacing w:line="48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65DF" w:rsidRPr="00960F9B" w:rsidRDefault="005765DF" w:rsidP="005765DF">
      <w:pPr>
        <w:pStyle w:val="ListParagraph"/>
        <w:spacing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765DF" w:rsidRPr="00960F9B" w:rsidRDefault="005765DF" w:rsidP="005765DF">
      <w:pPr>
        <w:pStyle w:val="ListParagraph"/>
        <w:spacing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765DF" w:rsidRPr="00960F9B" w:rsidRDefault="005765DF" w:rsidP="005765DF">
      <w:pPr>
        <w:pStyle w:val="ListParagraph"/>
        <w:spacing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765DF" w:rsidRPr="00960F9B" w:rsidRDefault="005765DF" w:rsidP="005765DF">
      <w:pPr>
        <w:spacing w:line="48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765DF" w:rsidRPr="00BD3E4C" w:rsidRDefault="005765DF" w:rsidP="005765DF">
      <w:pPr>
        <w:spacing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5765DF" w:rsidRDefault="005765DF" w:rsidP="005765DF">
      <w:pPr>
        <w:spacing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74F17" w:rsidRDefault="005765DF"/>
    <w:sectPr w:rsidR="00674F17" w:rsidSect="00A3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5DF"/>
    <w:rsid w:val="005765DF"/>
    <w:rsid w:val="00880965"/>
    <w:rsid w:val="00A376CF"/>
    <w:rsid w:val="00EC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5DF"/>
    <w:pPr>
      <w:ind w:left="720"/>
      <w:contextualSpacing/>
    </w:pPr>
  </w:style>
  <w:style w:type="table" w:styleId="TableGrid">
    <w:name w:val="Table Grid"/>
    <w:basedOn w:val="TableNormal"/>
    <w:uiPriority w:val="59"/>
    <w:rsid w:val="00576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65D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Setiadi</dc:creator>
  <cp:lastModifiedBy>Robby Setiadi</cp:lastModifiedBy>
  <cp:revision>1</cp:revision>
  <dcterms:created xsi:type="dcterms:W3CDTF">2015-02-17T01:13:00Z</dcterms:created>
  <dcterms:modified xsi:type="dcterms:W3CDTF">2015-02-17T01:14:00Z</dcterms:modified>
</cp:coreProperties>
</file>