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83669">
      <w:pPr>
        <w:keepNext w:val="0"/>
        <w:keepLines w:val="0"/>
        <w:widowControl/>
        <w:suppressLineNumbers w:val="0"/>
        <w:spacing w:before="0" w:beforeAutospacing="0" w:after="160" w:afterAutospacing="0" w:line="480" w:lineRule="auto"/>
        <w:ind w:left="0" w:right="0"/>
        <w:jc w:val="center"/>
        <w:rPr>
          <w:rFonts w:hint="default" w:ascii="Times New Roman" w:hAnsi="Times New Roman" w:cs="Times New Roman"/>
          <w:b/>
          <w:bCs/>
          <w:sz w:val="24"/>
          <w:szCs w:val="24"/>
          <w:lang w:val="en-US"/>
        </w:rPr>
      </w:pPr>
      <w:r>
        <w:rPr>
          <w:rFonts w:hint="default" w:ascii="Times New Roman" w:hAnsi="Times New Roman" w:eastAsia="Calibri" w:cs="Times New Roman"/>
          <w:b/>
          <w:bCs/>
          <w:kern w:val="0"/>
          <w:sz w:val="24"/>
          <w:szCs w:val="24"/>
          <w:lang w:val="en-US" w:eastAsia="zh-CN"/>
        </w:rPr>
        <w:t>BAB IV</w:t>
      </w:r>
    </w:p>
    <w:p w14:paraId="5FA61216">
      <w:pPr>
        <w:keepNext w:val="0"/>
        <w:keepLines w:val="0"/>
        <w:widowControl/>
        <w:suppressLineNumbers w:val="0"/>
        <w:spacing w:before="0" w:beforeAutospacing="0" w:after="160" w:afterAutospacing="0" w:line="480" w:lineRule="auto"/>
        <w:ind w:left="0" w:right="0"/>
        <w:jc w:val="center"/>
        <w:rPr>
          <w:rFonts w:hint="default" w:ascii="Times New Roman" w:hAnsi="Times New Roman" w:cs="Times New Roman"/>
          <w:b/>
          <w:bCs/>
          <w:sz w:val="24"/>
          <w:szCs w:val="24"/>
          <w:lang w:val="en-US"/>
        </w:rPr>
      </w:pPr>
      <w:r>
        <w:rPr>
          <w:rFonts w:hint="default" w:ascii="Times New Roman" w:hAnsi="Times New Roman" w:eastAsia="Calibri" w:cs="Times New Roman"/>
          <w:b/>
          <w:bCs/>
          <w:kern w:val="0"/>
          <w:sz w:val="24"/>
          <w:szCs w:val="24"/>
          <w:lang w:val="en-US" w:eastAsia="zh-CN"/>
        </w:rPr>
        <w:t xml:space="preserve">PENUTUP </w:t>
      </w:r>
    </w:p>
    <w:p w14:paraId="4B2CC8C2">
      <w:pPr>
        <w:keepNext w:val="0"/>
        <w:keepLines w:val="0"/>
        <w:widowControl/>
        <w:numPr>
          <w:ilvl w:val="0"/>
          <w:numId w:val="1"/>
        </w:numPr>
        <w:suppressLineNumbers w:val="0"/>
        <w:spacing w:before="0" w:beforeAutospacing="0" w:after="160" w:afterAutospacing="0" w:line="480" w:lineRule="auto"/>
        <w:ind w:left="0" w:right="0" w:firstLine="0"/>
        <w:jc w:val="both"/>
        <w:rPr>
          <w:rFonts w:hint="default" w:ascii="Times New Roman" w:hAnsi="Times New Roman" w:cs="Times New Roman"/>
          <w:b/>
          <w:bCs/>
          <w:sz w:val="24"/>
          <w:szCs w:val="24"/>
          <w:lang w:val="en-US"/>
        </w:rPr>
      </w:pPr>
      <w:r>
        <w:rPr>
          <w:rFonts w:hint="default" w:ascii="Times New Roman" w:hAnsi="Times New Roman" w:eastAsia="Calibri" w:cs="Times New Roman"/>
          <w:b/>
          <w:bCs/>
          <w:kern w:val="0"/>
          <w:sz w:val="24"/>
          <w:szCs w:val="24"/>
          <w:lang w:val="en-US" w:eastAsia="zh-CN"/>
        </w:rPr>
        <w:t xml:space="preserve"> Simpulan</w:t>
      </w:r>
    </w:p>
    <w:p w14:paraId="521E9CBC">
      <w:pPr>
        <w:keepNext w:val="0"/>
        <w:keepLines w:val="0"/>
        <w:widowControl/>
        <w:suppressLineNumbers w:val="0"/>
        <w:spacing w:before="0" w:beforeAutospacing="0" w:after="160" w:afterAutospacing="0" w:line="480" w:lineRule="auto"/>
        <w:ind w:left="440" w:leftChars="200" w:right="0" w:firstLine="516" w:firstLineChars="215"/>
        <w:jc w:val="both"/>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rPr>
        <w:t>Berdasarkan kajian yuridis terhadap korupsi dalam organisasi internasional FIFA menurut United Nations Convention Against Corruption (UNCAC) 2003 dan implementasinya di Indonesia, dapat ditarik beberapa kesimpulan sebagai berikut:</w:t>
      </w:r>
    </w:p>
    <w:p w14:paraId="395973F3">
      <w:pPr>
        <w:pStyle w:val="6"/>
        <w:widowControl/>
        <w:numPr>
          <w:ilvl w:val="0"/>
          <w:numId w:val="2"/>
        </w:numPr>
        <w:spacing w:line="480" w:lineRule="auto"/>
        <w:ind w:left="670" w:leftChars="0" w:hanging="230" w:firstLineChars="0"/>
        <w:contextualSpacing/>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Pengaturan Hukum Korupsi menurut UNCAC 2003: UNCAC 2003 merupakan instrumen hukum internasional yang komprehensif dalam memerangi korupsi. Konvensi ini mencakup lima pilar utama: pencegahan korupsi (Bab II), kriminalisasi dan penegakan hukum (Bab III), kerja sama internasional (Bab IV), pemulihan aset (Bab V), serta bantuan teknis dan pertukaran informasi. Prinsip-prinsip utamanya meliputi kriminalisasi universal, non-intervensi yang fleksibel, kerja sama internasional, serta transparansi dan akuntabilitas.</w:t>
      </w:r>
    </w:p>
    <w:p w14:paraId="5157DC52">
      <w:pPr>
        <w:pStyle w:val="6"/>
        <w:widowControl/>
        <w:numPr>
          <w:ilvl w:val="0"/>
          <w:numId w:val="2"/>
        </w:numPr>
        <w:spacing w:line="480" w:lineRule="auto"/>
        <w:ind w:left="670" w:leftChars="0" w:hanging="230" w:firstLineChars="0"/>
        <w:contextualSpacing/>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Kajian Yuridis Korupsi di FIFA ditinjau dari UNCAC 2003: Sifat Korupsi di FIFA: Praktik korupsi di FIFA, seperti skandal FIFA Gate 2015, dugaan suap dalam proses bidding Piala Dunia Rusia 2018 dan Qatar 2022, serta kasus suap dalam kontrak sponsor dan hak siar televisi, menunjukkan pola kejahatan transnasional yang sistematis. Modus operandinya meliputi penyuapan, penggelapan, trading in influence, penyalahgunaan fungsi, dan pencucian uang. Relevansi UNCAC: Meskipun FIFA adalah organisasi non-pemerintah internasional, prinsip-prinsip UNCAC sangat relevan untuk menganalisis kasus-kasus korupsi di dalamnya. Perbuatan pejabat FIFA dapat dikualifikasikan sebagai tindak pidana korupsi berdasarkan Pasal 15 (penyuapan pejabat publik), Pasal 21 (penyuapan di sektor privat), Pasal 23 (pencucian uang), serta Pasal 18 (trading in influence) dan Pasal 19 (penyalahgunaan fungsi) UNCAC.</w:t>
      </w:r>
    </w:p>
    <w:p w14:paraId="016376E3">
      <w:pPr>
        <w:pStyle w:val="6"/>
        <w:widowControl/>
        <w:numPr>
          <w:ilvl w:val="0"/>
          <w:numId w:val="2"/>
        </w:numPr>
        <w:spacing w:line="480" w:lineRule="auto"/>
        <w:ind w:left="670" w:leftChars="0" w:hanging="230" w:firstLineChars="0"/>
        <w:contextualSpacing/>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Kesenjangan Tata Kelola Internal FIFA: Tata kelola internal FIFA (FIFA Statutes, Code of Ethics, Disciplinary Code) mengadopsi sebagian prinsip UNCAC, namun bersifat soft law. Kekuatan penegakan hukum pidana, penyitaan aset, dan ekstradisi hanya dapat efektif melalui keterlibatan hukum nasional negara-negara pihak UNCAC. Terdapat kesenjangan signifikan dalam perlindungan pelapor, transparansi beneficial ownership, dan koordinasi bantuan hukum timbal balik (MLA).</w:t>
      </w:r>
    </w:p>
    <w:p w14:paraId="65BA12B5">
      <w:pPr>
        <w:pStyle w:val="6"/>
        <w:widowControl/>
        <w:numPr>
          <w:ilvl w:val="0"/>
          <w:numId w:val="2"/>
        </w:numPr>
        <w:spacing w:line="480" w:lineRule="auto"/>
        <w:ind w:left="670" w:leftChars="0" w:hanging="230" w:firstLineChars="0"/>
        <w:contextualSpacing/>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Implementasi UNCAC di Indonesia dan Relevansinya terhadap Kasus FIFA: Indonesia telah meratifikasi UNCAC melalui Undang-Undang Nomor 7 Tahun 2006 dan memiliki kerangka hukum nasional yang relevan (UU Tipikor, UU TPPU, UU MLA, UU Ekstradisi). Namun, masih terdapat kelemahan dalam kriminalisasi korupsi sektor privat dan trading in influence secara tegas, serta kapasitas kerja sama internasional dalam penelusuran dan pengembalian aset lintas negara. Kasus FIFA menjadi pembelajaran penting bagi Indonesia untuk memperkuat regulasi dan mekanisme penegakan hukum dalam konteks kejahatan korupsi transnasional di sektor olahraga</w:t>
      </w:r>
    </w:p>
    <w:p w14:paraId="219A617C">
      <w:pPr>
        <w:keepNext w:val="0"/>
        <w:keepLines w:val="0"/>
        <w:widowControl/>
        <w:suppressLineNumbers w:val="0"/>
        <w:spacing w:before="0" w:beforeAutospacing="0" w:after="160" w:afterAutospacing="0" w:line="480" w:lineRule="auto"/>
        <w:ind w:right="0"/>
        <w:jc w:val="both"/>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rPr>
        <w:t>.</w:t>
      </w:r>
    </w:p>
    <w:p w14:paraId="19389EF6">
      <w:pPr>
        <w:keepNext w:val="0"/>
        <w:keepLines w:val="0"/>
        <w:widowControl/>
        <w:numPr>
          <w:ilvl w:val="0"/>
          <w:numId w:val="1"/>
        </w:numPr>
        <w:suppressLineNumbers w:val="0"/>
        <w:spacing w:before="0" w:beforeAutospacing="0" w:after="160" w:afterAutospacing="0" w:line="480" w:lineRule="auto"/>
        <w:ind w:left="0" w:right="0" w:firstLine="219" w:firstLineChars="91"/>
        <w:jc w:val="both"/>
        <w:rPr>
          <w:rFonts w:hint="default" w:ascii="Times New Roman" w:hAnsi="Times New Roman" w:cs="Times New Roman"/>
          <w:b/>
          <w:bCs/>
          <w:sz w:val="24"/>
          <w:szCs w:val="24"/>
          <w:lang w:val="en-US"/>
        </w:rPr>
      </w:pPr>
      <w:r>
        <w:rPr>
          <w:rFonts w:hint="default" w:ascii="Times New Roman" w:hAnsi="Times New Roman" w:eastAsia="Calibri" w:cs="Times New Roman"/>
          <w:b/>
          <w:bCs/>
          <w:kern w:val="0"/>
          <w:sz w:val="24"/>
          <w:szCs w:val="24"/>
          <w:lang w:val="en-US" w:eastAsia="zh-CN"/>
        </w:rPr>
        <w:t xml:space="preserve"> Saran</w:t>
      </w:r>
    </w:p>
    <w:p w14:paraId="5555AD96">
      <w:pPr>
        <w:keepNext w:val="0"/>
        <w:keepLines w:val="0"/>
        <w:widowControl/>
        <w:suppressLineNumbers w:val="0"/>
        <w:spacing w:before="0" w:beforeAutospacing="0" w:after="160" w:afterAutospacing="0" w:line="480" w:lineRule="auto"/>
        <w:ind w:left="440" w:leftChars="200" w:right="0" w:firstLine="540" w:firstLineChars="225"/>
        <w:jc w:val="both"/>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rPr>
        <w:t>Berdasarkan kesimpulan di atas, berikut adalah beberapa saran yang diajukan:</w:t>
      </w:r>
    </w:p>
    <w:p w14:paraId="22F316A2">
      <w:pPr>
        <w:keepNext w:val="0"/>
        <w:keepLines w:val="0"/>
        <w:widowControl/>
        <w:numPr>
          <w:ilvl w:val="0"/>
          <w:numId w:val="3"/>
        </w:numPr>
        <w:suppressLineNumbers w:val="0"/>
        <w:spacing w:before="0" w:beforeAutospacing="0" w:after="160" w:afterAutospacing="0" w:line="480" w:lineRule="auto"/>
        <w:ind w:left="440" w:leftChars="200" w:right="0"/>
        <w:jc w:val="both"/>
        <w:rPr>
          <w:rFonts w:hint="default" w:ascii="Times New Roman" w:hAnsi="Times New Roman" w:cs="Times New Roman"/>
          <w:sz w:val="24"/>
          <w:szCs w:val="24"/>
          <w:lang w:val="en-US"/>
        </w:rPr>
      </w:pPr>
      <w:r>
        <w:rPr>
          <w:rFonts w:hint="default" w:ascii="Times New Roman" w:hAnsi="Times New Roman" w:eastAsia="Calibri" w:cs="Times New Roman"/>
          <w:b/>
          <w:bCs/>
          <w:kern w:val="0"/>
          <w:sz w:val="24"/>
          <w:szCs w:val="24"/>
          <w:lang w:val="en-US" w:eastAsia="zh-CN"/>
        </w:rPr>
        <w:t>Bagi FIFA</w:t>
      </w:r>
      <w:r>
        <w:rPr>
          <w:rFonts w:hint="default" w:ascii="Times New Roman" w:hAnsi="Times New Roman" w:eastAsia="Calibri" w:cs="Times New Roman"/>
          <w:kern w:val="0"/>
          <w:sz w:val="24"/>
          <w:szCs w:val="24"/>
          <w:lang w:val="en-US" w:eastAsia="zh-CN"/>
        </w:rPr>
        <w:t>:</w:t>
      </w:r>
    </w:p>
    <w:p w14:paraId="5B83A122">
      <w:pPr>
        <w:keepNext w:val="0"/>
        <w:keepLines w:val="0"/>
        <w:widowControl/>
        <w:suppressLineNumbers w:val="0"/>
        <w:spacing w:before="0" w:beforeAutospacing="0" w:after="160" w:afterAutospacing="0" w:line="480" w:lineRule="auto"/>
        <w:ind w:left="660" w:leftChars="300" w:right="0" w:firstLine="660" w:firstLineChars="275"/>
        <w:jc w:val="both"/>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rPr>
        <w:t>Penguatan Sistem Kepatuhan: FIFA harus secara proaktif memperkuat sistem kepatuhan internalnya agar sepenuhnya selaras dengan standar hard law UNCAC. Ini mencakup kewajiban pengungkapan beneficial ownership (pemilik manfaat) dari semua vendor dan mitra, penerapan perlindungan pelapor (whistleblower protection) yang komprehensif dan independen, serta transparansi penuh dalam semua kontrak hak siar, sponsor, dan proses procurement.</w:t>
      </w:r>
    </w:p>
    <w:p w14:paraId="43E94C0B">
      <w:pPr>
        <w:keepNext w:val="0"/>
        <w:keepLines w:val="0"/>
        <w:widowControl/>
        <w:suppressLineNumbers w:val="0"/>
        <w:tabs>
          <w:tab w:val="left" w:pos="660"/>
        </w:tabs>
        <w:spacing w:before="0" w:beforeAutospacing="0" w:after="160" w:afterAutospacing="0" w:line="480" w:lineRule="auto"/>
        <w:ind w:left="440" w:leftChars="200" w:right="0" w:firstLine="1020" w:firstLineChars="425"/>
        <w:jc w:val="both"/>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rPr>
        <w:t>Klausul Kerja Sama Hukum: FIFA perlu menyusun klausul kerja sama yang mengikat semua pejabat, kontraktor, dan pihak terkait untuk tunduk pada permintaan bantuan hukum timbal balik (MLA) dan ekstradisi dari negara-negara anggota UNCAC yang relevan.</w:t>
      </w:r>
    </w:p>
    <w:p w14:paraId="02EB746B">
      <w:pPr>
        <w:keepNext w:val="0"/>
        <w:keepLines w:val="0"/>
        <w:widowControl/>
        <w:suppressLineNumbers w:val="0"/>
        <w:spacing w:before="0" w:beforeAutospacing="0" w:after="160" w:afterAutospacing="0" w:line="480" w:lineRule="auto"/>
        <w:ind w:left="440" w:leftChars="200" w:right="0" w:firstLine="700" w:firstLineChars="292"/>
        <w:jc w:val="both"/>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rPr>
        <w:t>Mekanisme Pemulihan Aset Internal: Mengembangkan mekanisme pemulihan aset internal yang efektif, seperti penggunaan escrow arrangements untuk pembayaran bernilai besar dan clawback clauses dalam kontrak, untuk memfasilitasi pengembalian dana hasil korupsi.</w:t>
      </w:r>
    </w:p>
    <w:p w14:paraId="3B305E78">
      <w:pPr>
        <w:keepNext w:val="0"/>
        <w:keepLines w:val="0"/>
        <w:widowControl/>
        <w:numPr>
          <w:ilvl w:val="0"/>
          <w:numId w:val="3"/>
        </w:numPr>
        <w:suppressLineNumbers w:val="0"/>
        <w:spacing w:before="0" w:beforeAutospacing="0" w:after="160" w:afterAutospacing="0" w:line="480" w:lineRule="auto"/>
        <w:ind w:left="440" w:leftChars="200" w:right="0" w:firstLine="0" w:firstLineChars="0"/>
        <w:jc w:val="both"/>
        <w:rPr>
          <w:rFonts w:hint="default" w:ascii="Times New Roman" w:hAnsi="Times New Roman" w:cs="Times New Roman"/>
          <w:b/>
          <w:bCs/>
          <w:sz w:val="24"/>
          <w:szCs w:val="24"/>
          <w:lang w:val="en-US"/>
        </w:rPr>
      </w:pPr>
      <w:r>
        <w:rPr>
          <w:rFonts w:hint="default" w:ascii="Times New Roman" w:hAnsi="Times New Roman" w:eastAsia="Calibri" w:cs="Times New Roman"/>
          <w:b/>
          <w:bCs/>
          <w:kern w:val="0"/>
          <w:sz w:val="24"/>
          <w:szCs w:val="24"/>
          <w:lang w:val="en-US" w:eastAsia="zh-CN"/>
        </w:rPr>
        <w:t>Bagi Negara Pihak UNCAC (termasuk Indonesia):</w:t>
      </w:r>
    </w:p>
    <w:p w14:paraId="67AB7DFB">
      <w:pPr>
        <w:keepNext w:val="0"/>
        <w:keepLines w:val="0"/>
        <w:widowControl/>
        <w:suppressLineNumbers w:val="0"/>
        <w:spacing w:before="0" w:beforeAutospacing="0" w:after="160" w:afterAutospacing="0" w:line="480" w:lineRule="auto"/>
        <w:ind w:left="660" w:leftChars="300" w:right="0" w:firstLine="660" w:firstLineChars="275"/>
        <w:jc w:val="both"/>
        <w:rPr>
          <w:rFonts w:hint="default" w:ascii="Times New Roman" w:hAnsi="Times New Roman" w:eastAsia="Calibri" w:cs="Times New Roman"/>
          <w:kern w:val="0"/>
          <w:sz w:val="24"/>
          <w:szCs w:val="24"/>
          <w:lang w:val="en-US" w:eastAsia="zh-CN"/>
        </w:rPr>
      </w:pPr>
      <w:r>
        <w:rPr>
          <w:rFonts w:hint="default" w:ascii="Times New Roman" w:hAnsi="Times New Roman" w:eastAsia="Calibri" w:cs="Times New Roman"/>
          <w:kern w:val="0"/>
          <w:sz w:val="24"/>
          <w:szCs w:val="24"/>
          <w:lang w:val="en-US" w:eastAsia="zh-CN"/>
        </w:rPr>
        <w:t>Harmonisasi Hukum Nasional: Negara-negara pihak perlu melengkapi dan mengharmonisasi hukum nasional mereka untuk secara tegas mengkriminalisasi tindak pidana korupsi sektor privat (Pasal 21 UNCAC), trading in influence (Pasal 18 UNCAC), dan penyalahgunaan fungsi (Pasal 19 UNCAC), yang seringkali menjadi celah dalam kasus korupsi organisasi internasional.</w:t>
      </w:r>
    </w:p>
    <w:p w14:paraId="4D66DB14">
      <w:pPr>
        <w:keepNext w:val="0"/>
        <w:keepLines w:val="0"/>
        <w:widowControl/>
        <w:suppressLineNumbers w:val="0"/>
        <w:spacing w:before="0" w:beforeAutospacing="0" w:after="160" w:afterAutospacing="0" w:line="480" w:lineRule="auto"/>
        <w:ind w:left="660" w:leftChars="300" w:right="0" w:firstLine="657" w:firstLineChars="274"/>
        <w:jc w:val="both"/>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rPr>
        <w:t>Peningkatan Kapasitas Penegakan Hukum: Memperkuat kapasitas aparat penegak hukum dalam penelusuran aset lintas negara, termasuk kerja sama yang lebih erat dengan otoritas di yurisdiksi finansial utama seperti Swiss dan Amerika Serikat.</w:t>
      </w:r>
    </w:p>
    <w:p w14:paraId="368FD8EB">
      <w:pPr>
        <w:keepNext w:val="0"/>
        <w:keepLines w:val="0"/>
        <w:widowControl/>
        <w:suppressLineNumbers w:val="0"/>
        <w:spacing w:before="0" w:beforeAutospacing="0" w:after="160" w:afterAutospacing="0" w:line="480" w:lineRule="auto"/>
        <w:ind w:left="660" w:leftChars="300" w:right="0" w:firstLine="679" w:firstLineChars="283"/>
        <w:jc w:val="both"/>
        <w:rPr>
          <w:rFonts w:hint="default" w:ascii="Times New Roman" w:hAnsi="Times New Roman" w:eastAsia="Calibri" w:cs="Times New Roman"/>
          <w:kern w:val="0"/>
          <w:sz w:val="24"/>
          <w:szCs w:val="24"/>
          <w:lang w:val="en-US" w:eastAsia="zh-CN"/>
        </w:rPr>
      </w:pPr>
      <w:r>
        <w:rPr>
          <w:rFonts w:hint="default" w:ascii="Times New Roman" w:hAnsi="Times New Roman" w:eastAsia="Calibri" w:cs="Times New Roman"/>
          <w:kern w:val="0"/>
          <w:sz w:val="24"/>
          <w:szCs w:val="24"/>
          <w:lang w:val="en-US" w:eastAsia="zh-CN"/>
        </w:rPr>
        <w:t>Transparansi Kontrak dan Beneficial Ownership: Mendorong dan menetapkan kewajiban transparansi kontrak serta pengungkapan beneficial ownership untuk perusahaan media, sponsor, dan agen olahraga yang beroperasi di tingkat nasional maupun internasional.</w:t>
      </w:r>
    </w:p>
    <w:p w14:paraId="271051E3">
      <w:pPr>
        <w:keepNext w:val="0"/>
        <w:keepLines w:val="0"/>
        <w:widowControl/>
        <w:numPr>
          <w:ilvl w:val="0"/>
          <w:numId w:val="3"/>
        </w:numPr>
        <w:suppressLineNumbers w:val="0"/>
        <w:spacing w:before="0" w:beforeAutospacing="0" w:after="160" w:afterAutospacing="0" w:line="480" w:lineRule="auto"/>
        <w:ind w:left="440" w:leftChars="200" w:right="0" w:firstLine="0" w:firstLineChars="0"/>
        <w:jc w:val="both"/>
        <w:rPr>
          <w:rFonts w:hint="default" w:ascii="Times New Roman" w:hAnsi="Times New Roman" w:cs="Times New Roman"/>
          <w:b/>
          <w:bCs/>
          <w:sz w:val="24"/>
          <w:szCs w:val="24"/>
          <w:lang w:val="en-US"/>
        </w:rPr>
      </w:pPr>
      <w:r>
        <w:rPr>
          <w:rFonts w:hint="default" w:ascii="Times New Roman" w:hAnsi="Times New Roman" w:eastAsia="Calibri" w:cs="Times New Roman"/>
          <w:b/>
          <w:bCs/>
          <w:kern w:val="0"/>
          <w:sz w:val="24"/>
          <w:szCs w:val="24"/>
          <w:lang w:val="en-US" w:eastAsia="zh-CN"/>
        </w:rPr>
        <w:t>Bagi Indonesia secara Khusus:</w:t>
      </w:r>
    </w:p>
    <w:p w14:paraId="120D893F">
      <w:pPr>
        <w:keepNext w:val="0"/>
        <w:keepLines w:val="0"/>
        <w:widowControl/>
        <w:suppressLineNumbers w:val="0"/>
        <w:tabs>
          <w:tab w:val="left" w:pos="660"/>
        </w:tabs>
        <w:spacing w:before="0" w:beforeAutospacing="0" w:after="160" w:afterAutospacing="0" w:line="480" w:lineRule="auto"/>
        <w:ind w:left="660" w:leftChars="300" w:right="0" w:firstLine="660" w:firstLineChars="0"/>
        <w:jc w:val="both"/>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rPr>
        <w:t>Integrasi Prinsip UNCAC dalam Tata Kelola Olahraga Nasional: Mengintegrasikan prinsip-prinsip UNCAC ke dalam tata kelola organisasi olahraga nasional, termasuk PSSI, pengelolaan liga, dan proses bidding untuk event internasional, guna mencegah praktik korupsi serupa FIFA.</w:t>
      </w:r>
    </w:p>
    <w:p w14:paraId="2837EB18">
      <w:pPr>
        <w:keepNext w:val="0"/>
        <w:keepLines w:val="0"/>
        <w:widowControl/>
        <w:suppressLineNumbers w:val="0"/>
        <w:tabs>
          <w:tab w:val="left" w:pos="660"/>
        </w:tabs>
        <w:spacing w:before="0" w:beforeAutospacing="0" w:after="160" w:afterAutospacing="0" w:line="480" w:lineRule="auto"/>
        <w:ind w:left="660" w:leftChars="300" w:right="0" w:firstLine="660" w:firstLineChars="0"/>
        <w:jc w:val="both"/>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rPr>
        <w:t>Penguatan Kerja Sama Operasional: Menjalin Memorandum of Understanding (MoU) operasional antara Komisi Pemberantasan Korupsi (KPK), Pusat Pelaporan dan Analisis Transaksi Keuangan (PPATK), Kepolisian, Kejaksaan, dan otoritas terkait di negara-negara mitra (misalnya Swiss dan AS) untuk mempercepat proses asset recovery dalam kasus korupsi olahraga transnasional.</w:t>
      </w:r>
    </w:p>
    <w:p w14:paraId="0B8C57AF">
      <w:pPr>
        <w:keepNext w:val="0"/>
        <w:keepLines w:val="0"/>
        <w:widowControl/>
        <w:suppressLineNumbers w:val="0"/>
        <w:tabs>
          <w:tab w:val="left" w:pos="220"/>
          <w:tab w:val="left" w:pos="660"/>
        </w:tabs>
        <w:spacing w:before="0" w:beforeAutospacing="0" w:after="160" w:afterAutospacing="0" w:line="480" w:lineRule="auto"/>
        <w:ind w:left="660" w:leftChars="300" w:right="0" w:firstLine="799" w:firstLineChars="333"/>
        <w:jc w:val="both"/>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rPr>
        <w:t>Peningkatan Literasi Antikorupsi: Meningkatkan literasi dan pendidikan antikorupsi di bidang olahraga, baik melalui regulasi ketat di federasi olahraga nasional maupun koordinasi aktif dengan lembaga antikorupsi dan kementerian terkait</w:t>
      </w:r>
      <w:bookmarkStart w:id="0" w:name="_Toc209278752"/>
      <w:bookmarkStart w:id="1" w:name="_Toc208345557"/>
    </w:p>
    <w:p w14:paraId="3A055646">
      <w:pPr>
        <w:keepNext w:val="0"/>
        <w:keepLines w:val="0"/>
        <w:widowControl/>
        <w:suppressLineNumbers w:val="0"/>
        <w:spacing w:before="0" w:beforeAutospacing="0" w:after="160" w:afterAutospacing="0" w:line="480" w:lineRule="auto"/>
        <w:ind w:left="440" w:leftChars="200" w:right="0" w:firstLine="1020" w:firstLineChars="425"/>
        <w:jc w:val="both"/>
        <w:rPr>
          <w:rFonts w:hint="default" w:ascii="Times New Roman" w:hAnsi="Times New Roman" w:cs="Times New Roman"/>
          <w:sz w:val="24"/>
          <w:szCs w:val="24"/>
          <w:lang w:val="en-US"/>
        </w:rPr>
      </w:pPr>
    </w:p>
    <w:p w14:paraId="6AC317FE">
      <w:pPr>
        <w:pStyle w:val="6"/>
        <w:widowControl/>
        <w:spacing w:line="480" w:lineRule="auto"/>
        <w:ind w:left="0"/>
        <w:contextualSpacing/>
        <w:jc w:val="center"/>
        <w:rPr>
          <w:rFonts w:hint="default" w:ascii="Times New Roman" w:hAnsi="Times New Roman" w:cs="Times New Roman"/>
          <w:b/>
          <w:bCs/>
          <w:sz w:val="24"/>
          <w:szCs w:val="22"/>
          <w:lang w:val="en-US"/>
        </w:rPr>
      </w:pPr>
    </w:p>
    <w:p w14:paraId="4774804C">
      <w:pPr>
        <w:pStyle w:val="6"/>
        <w:widowControl/>
        <w:spacing w:line="480" w:lineRule="auto"/>
        <w:ind w:left="0"/>
        <w:contextualSpacing/>
        <w:jc w:val="center"/>
        <w:rPr>
          <w:rFonts w:hint="default" w:ascii="Times New Roman" w:hAnsi="Times New Roman" w:cs="Times New Roman"/>
          <w:b/>
          <w:bCs/>
          <w:sz w:val="24"/>
          <w:szCs w:val="22"/>
          <w:lang w:val="en-US"/>
        </w:rPr>
      </w:pPr>
    </w:p>
    <w:p w14:paraId="5024DC51">
      <w:pPr>
        <w:pStyle w:val="6"/>
        <w:widowControl/>
        <w:spacing w:line="480" w:lineRule="auto"/>
        <w:ind w:left="0"/>
        <w:contextualSpacing/>
        <w:jc w:val="center"/>
        <w:rPr>
          <w:rFonts w:hint="default" w:ascii="Times New Roman" w:hAnsi="Times New Roman" w:cs="Times New Roman"/>
          <w:b/>
          <w:bCs/>
          <w:sz w:val="24"/>
          <w:szCs w:val="22"/>
          <w:lang w:val="en-US"/>
        </w:rPr>
      </w:pPr>
    </w:p>
    <w:p w14:paraId="4581C7AA">
      <w:pPr>
        <w:pStyle w:val="6"/>
        <w:widowControl/>
        <w:spacing w:line="480" w:lineRule="auto"/>
        <w:ind w:left="0"/>
        <w:contextualSpacing/>
        <w:jc w:val="center"/>
        <w:rPr>
          <w:rFonts w:hint="default" w:ascii="Times New Roman" w:hAnsi="Times New Roman" w:cs="Times New Roman"/>
          <w:b/>
          <w:bCs/>
          <w:sz w:val="24"/>
          <w:szCs w:val="22"/>
          <w:lang w:val="en-US"/>
        </w:rPr>
      </w:pPr>
    </w:p>
    <w:p w14:paraId="50D4E188">
      <w:pPr>
        <w:pStyle w:val="6"/>
        <w:widowControl/>
        <w:spacing w:line="480" w:lineRule="auto"/>
        <w:ind w:left="0"/>
        <w:contextualSpacing/>
        <w:jc w:val="center"/>
        <w:rPr>
          <w:rFonts w:hint="default" w:ascii="Times New Roman" w:hAnsi="Times New Roman" w:cs="Times New Roman"/>
          <w:b/>
          <w:bCs/>
          <w:sz w:val="24"/>
          <w:szCs w:val="22"/>
          <w:lang w:val="en-US"/>
        </w:rPr>
      </w:pPr>
    </w:p>
    <w:p w14:paraId="42C3F639">
      <w:pPr>
        <w:pStyle w:val="6"/>
        <w:widowControl/>
        <w:spacing w:line="480" w:lineRule="auto"/>
        <w:ind w:left="0"/>
        <w:contextualSpacing/>
        <w:jc w:val="center"/>
        <w:rPr>
          <w:rFonts w:hint="default" w:ascii="Times New Roman" w:hAnsi="Times New Roman" w:cs="Times New Roman"/>
          <w:b/>
          <w:bCs/>
          <w:sz w:val="24"/>
          <w:szCs w:val="22"/>
          <w:lang w:val="en-US"/>
        </w:rPr>
      </w:pPr>
    </w:p>
    <w:p w14:paraId="3FC0EDD5">
      <w:pPr>
        <w:pStyle w:val="6"/>
        <w:widowControl/>
        <w:spacing w:line="480" w:lineRule="auto"/>
        <w:ind w:left="0"/>
        <w:contextualSpacing/>
        <w:jc w:val="center"/>
        <w:rPr>
          <w:rFonts w:hint="default" w:ascii="Times New Roman" w:hAnsi="Times New Roman" w:cs="Times New Roman"/>
          <w:b/>
          <w:bCs/>
          <w:sz w:val="24"/>
          <w:szCs w:val="22"/>
          <w:lang w:val="en-US"/>
        </w:rPr>
      </w:pPr>
    </w:p>
    <w:p w14:paraId="0C9141CB">
      <w:pPr>
        <w:pStyle w:val="6"/>
        <w:widowControl/>
        <w:spacing w:line="480" w:lineRule="auto"/>
        <w:ind w:left="0"/>
        <w:contextualSpacing/>
        <w:jc w:val="center"/>
        <w:rPr>
          <w:rFonts w:hint="default" w:ascii="Times New Roman" w:hAnsi="Times New Roman" w:cs="Times New Roman"/>
          <w:b/>
          <w:bCs/>
          <w:sz w:val="24"/>
          <w:szCs w:val="22"/>
          <w:lang w:val="en-US"/>
        </w:rPr>
      </w:pPr>
    </w:p>
    <w:p w14:paraId="10123FB4">
      <w:pPr>
        <w:pStyle w:val="6"/>
        <w:widowControl/>
        <w:spacing w:line="480" w:lineRule="auto"/>
        <w:ind w:left="0"/>
        <w:contextualSpacing/>
        <w:jc w:val="center"/>
        <w:rPr>
          <w:rFonts w:hint="default" w:ascii="Times New Roman" w:hAnsi="Times New Roman" w:cs="Times New Roman"/>
          <w:b/>
          <w:bCs/>
          <w:sz w:val="24"/>
          <w:szCs w:val="22"/>
          <w:lang w:val="en-US"/>
        </w:rPr>
      </w:pPr>
    </w:p>
    <w:p w14:paraId="25F876A6">
      <w:pPr>
        <w:pStyle w:val="6"/>
        <w:widowControl/>
        <w:spacing w:line="480" w:lineRule="auto"/>
        <w:ind w:left="0"/>
        <w:contextualSpacing/>
        <w:jc w:val="both"/>
        <w:rPr>
          <w:rFonts w:hint="default" w:ascii="Times New Roman" w:hAnsi="Times New Roman" w:cs="Times New Roman"/>
          <w:b/>
          <w:bCs/>
          <w:sz w:val="24"/>
          <w:szCs w:val="22"/>
          <w:lang w:val="en-US"/>
        </w:rPr>
      </w:pPr>
    </w:p>
    <w:p w14:paraId="3FCF14D9">
      <w:pPr>
        <w:pStyle w:val="6"/>
        <w:widowControl/>
        <w:spacing w:line="480" w:lineRule="auto"/>
        <w:ind w:left="0"/>
        <w:contextualSpacing/>
        <w:jc w:val="both"/>
        <w:rPr>
          <w:rFonts w:hint="default" w:ascii="Times New Roman" w:hAnsi="Times New Roman" w:cs="Times New Roman"/>
          <w:b/>
          <w:bCs/>
          <w:sz w:val="24"/>
          <w:szCs w:val="22"/>
          <w:lang w:val="en-US"/>
        </w:rPr>
      </w:pPr>
    </w:p>
    <w:p w14:paraId="5BE529A3">
      <w:pPr>
        <w:pStyle w:val="6"/>
        <w:widowControl/>
        <w:spacing w:line="480" w:lineRule="auto"/>
        <w:ind w:left="0"/>
        <w:contextualSpacing/>
        <w:jc w:val="both"/>
        <w:rPr>
          <w:rFonts w:hint="default" w:ascii="Times New Roman" w:hAnsi="Times New Roman" w:cs="Times New Roman"/>
          <w:b/>
          <w:bCs/>
          <w:sz w:val="24"/>
          <w:szCs w:val="22"/>
          <w:lang w:val="en-US"/>
        </w:rPr>
      </w:pPr>
    </w:p>
    <w:p w14:paraId="04510BBA">
      <w:pPr>
        <w:pStyle w:val="6"/>
        <w:widowControl/>
        <w:spacing w:line="480" w:lineRule="auto"/>
        <w:ind w:left="0"/>
        <w:contextualSpacing/>
        <w:jc w:val="both"/>
        <w:rPr>
          <w:rFonts w:hint="default" w:ascii="Times New Roman" w:hAnsi="Times New Roman" w:cs="Times New Roman"/>
          <w:b/>
          <w:bCs/>
          <w:sz w:val="24"/>
          <w:szCs w:val="22"/>
          <w:lang w:val="en-US"/>
        </w:rPr>
      </w:pPr>
    </w:p>
    <w:p w14:paraId="680B5499">
      <w:pPr>
        <w:pStyle w:val="6"/>
        <w:widowControl/>
        <w:spacing w:line="480" w:lineRule="auto"/>
        <w:ind w:left="0"/>
        <w:contextualSpacing/>
        <w:jc w:val="both"/>
        <w:rPr>
          <w:rFonts w:hint="default" w:ascii="Times New Roman" w:hAnsi="Times New Roman" w:cs="Times New Roman"/>
          <w:b/>
          <w:bCs/>
          <w:sz w:val="24"/>
          <w:szCs w:val="22"/>
          <w:lang w:val="en-US"/>
        </w:rPr>
      </w:pPr>
    </w:p>
    <w:p w14:paraId="0A0099E3">
      <w:pPr>
        <w:pStyle w:val="6"/>
        <w:widowControl/>
        <w:spacing w:line="480" w:lineRule="auto"/>
        <w:ind w:left="0"/>
        <w:contextualSpacing/>
        <w:jc w:val="both"/>
        <w:rPr>
          <w:rFonts w:hint="default" w:ascii="Times New Roman" w:hAnsi="Times New Roman" w:cs="Times New Roman"/>
          <w:b/>
          <w:bCs/>
          <w:sz w:val="24"/>
          <w:szCs w:val="22"/>
          <w:lang w:val="en-US"/>
        </w:rPr>
      </w:pPr>
    </w:p>
    <w:p w14:paraId="38BE228D">
      <w:pPr>
        <w:pStyle w:val="6"/>
        <w:widowControl/>
        <w:spacing w:line="480" w:lineRule="auto"/>
        <w:ind w:left="0"/>
        <w:contextualSpacing/>
        <w:jc w:val="both"/>
        <w:rPr>
          <w:rFonts w:hint="default" w:ascii="Times New Roman" w:hAnsi="Times New Roman" w:cs="Times New Roman"/>
          <w:b/>
          <w:bCs/>
          <w:sz w:val="24"/>
          <w:szCs w:val="22"/>
          <w:lang w:val="en-US"/>
        </w:rPr>
      </w:pPr>
    </w:p>
    <w:p w14:paraId="2370D9CF">
      <w:pPr>
        <w:pStyle w:val="6"/>
        <w:widowControl/>
        <w:spacing w:line="480" w:lineRule="auto"/>
        <w:ind w:left="0"/>
        <w:contextualSpacing/>
        <w:jc w:val="both"/>
        <w:rPr>
          <w:rFonts w:hint="default" w:ascii="Times New Roman" w:hAnsi="Times New Roman" w:cs="Times New Roman"/>
          <w:b/>
          <w:bCs/>
          <w:sz w:val="24"/>
          <w:szCs w:val="22"/>
          <w:lang w:val="en-US"/>
        </w:rPr>
      </w:pPr>
    </w:p>
    <w:p w14:paraId="2B7D1C13">
      <w:pPr>
        <w:pStyle w:val="6"/>
        <w:widowControl/>
        <w:spacing w:line="480" w:lineRule="auto"/>
        <w:ind w:left="0"/>
        <w:contextualSpacing/>
        <w:jc w:val="both"/>
        <w:rPr>
          <w:rFonts w:hint="default" w:ascii="Times New Roman" w:hAnsi="Times New Roman" w:cs="Times New Roman"/>
          <w:b/>
          <w:bCs/>
          <w:sz w:val="24"/>
          <w:szCs w:val="22"/>
          <w:lang w:val="en-US"/>
        </w:rPr>
      </w:pPr>
    </w:p>
    <w:p w14:paraId="4A775505">
      <w:pPr>
        <w:pStyle w:val="6"/>
        <w:widowControl/>
        <w:spacing w:line="480" w:lineRule="auto"/>
        <w:ind w:left="0"/>
        <w:contextualSpacing/>
        <w:jc w:val="center"/>
        <w:rPr>
          <w:rFonts w:hint="default" w:ascii="Times New Roman" w:hAnsi="Times New Roman" w:cs="Times New Roman"/>
          <w:b/>
          <w:bCs w:val="0"/>
          <w:sz w:val="24"/>
          <w:szCs w:val="24"/>
          <w:lang w:val="en-US"/>
        </w:rPr>
      </w:pPr>
      <w:r>
        <w:rPr>
          <w:rFonts w:hint="default" w:ascii="Times New Roman" w:hAnsi="Times New Roman" w:cs="Times New Roman"/>
          <w:b/>
          <w:bCs/>
          <w:sz w:val="24"/>
          <w:szCs w:val="22"/>
          <w:lang w:val="en-US"/>
        </w:rPr>
        <w:t>DAFTAR PUSTAKA</w:t>
      </w:r>
      <w:bookmarkEnd w:id="0"/>
      <w:bookmarkEnd w:id="1"/>
    </w:p>
    <w:p w14:paraId="063DC13E">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sz w:val="24"/>
          <w:szCs w:val="24"/>
          <w:lang w:val="en-US"/>
        </w:rPr>
      </w:pPr>
    </w:p>
    <w:p w14:paraId="662A7710">
      <w:pPr>
        <w:pStyle w:val="6"/>
        <w:widowControl/>
        <w:numPr>
          <w:ilvl w:val="0"/>
          <w:numId w:val="4"/>
        </w:numPr>
        <w:spacing w:line="480" w:lineRule="auto"/>
        <w:ind w:left="661" w:leftChars="200" w:hanging="221" w:hangingChars="92"/>
        <w:contextualSpacing/>
        <w:jc w:val="both"/>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Instrumen Hukum Internasional:</w:t>
      </w:r>
    </w:p>
    <w:p w14:paraId="506E2754">
      <w:pPr>
        <w:pStyle w:val="6"/>
        <w:widowControl/>
        <w:numPr>
          <w:ilvl w:val="1"/>
          <w:numId w:val="5"/>
        </w:numPr>
        <w:spacing w:line="480" w:lineRule="auto"/>
        <w:ind w:left="660" w:leftChars="200" w:hanging="220" w:hangingChars="92"/>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United Nations Convention Against Corruption (UNCAC) 2003 (General Assembly Resolution 58/4, 31 Oktober 2003).</w:t>
      </w:r>
    </w:p>
    <w:p w14:paraId="7716340A">
      <w:pPr>
        <w:pStyle w:val="6"/>
        <w:widowControl/>
        <w:numPr>
          <w:ilvl w:val="0"/>
          <w:numId w:val="4"/>
        </w:numPr>
        <w:spacing w:line="480" w:lineRule="auto"/>
        <w:ind w:left="661" w:leftChars="200" w:hanging="221" w:hangingChars="92"/>
        <w:contextualSpacing/>
        <w:jc w:val="both"/>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Peraturan Nasional Indonesia:</w:t>
      </w:r>
    </w:p>
    <w:p w14:paraId="5635F16D">
      <w:pPr>
        <w:pStyle w:val="6"/>
        <w:keepNext w:val="0"/>
        <w:keepLines w:val="0"/>
        <w:pageBreakBefore w:val="0"/>
        <w:widowControl/>
        <w:numPr>
          <w:ilvl w:val="0"/>
          <w:numId w:val="6"/>
        </w:numPr>
        <w:kinsoku/>
        <w:wordWrap/>
        <w:overflowPunct/>
        <w:topLinePunct w:val="0"/>
        <w:autoSpaceDE/>
        <w:autoSpaceDN/>
        <w:bidi w:val="0"/>
        <w:adjustRightInd/>
        <w:snapToGrid/>
        <w:spacing w:line="480" w:lineRule="auto"/>
        <w:ind w:left="895" w:leftChars="299" w:hanging="237" w:hangingChars="99"/>
        <w:contextualSpacing/>
        <w:jc w:val="both"/>
        <w:textAlignment w:val="auto"/>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Undang-Undang Republik Indonesia Nomor 7 Tahun 2006  tentang Pengesahan United Nations Convention against Corruption, 2003.</w:t>
      </w:r>
    </w:p>
    <w:p w14:paraId="72993C1F">
      <w:pPr>
        <w:pStyle w:val="6"/>
        <w:widowControl/>
        <w:numPr>
          <w:ilvl w:val="0"/>
          <w:numId w:val="6"/>
        </w:numPr>
        <w:tabs>
          <w:tab w:val="left" w:pos="660"/>
        </w:tabs>
        <w:spacing w:line="480" w:lineRule="auto"/>
        <w:ind w:left="1094" w:leftChars="300" w:hanging="434" w:hangingChars="181"/>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Undang-Undang Nomor 31 Tahun 1999 jo. Undang-Undang Nomor 20 Tahun 2001 tentang Pemberantasan Tindak Pidana Korupsi.</w:t>
      </w:r>
    </w:p>
    <w:p w14:paraId="4F78AFDC">
      <w:pPr>
        <w:pStyle w:val="6"/>
        <w:widowControl/>
        <w:numPr>
          <w:ilvl w:val="0"/>
          <w:numId w:val="6"/>
        </w:numPr>
        <w:spacing w:line="480" w:lineRule="auto"/>
        <w:ind w:left="1099" w:leftChars="300" w:hanging="439" w:hangingChars="183"/>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Kitab Undang-Undang Hukum Pidana (KUHP).</w:t>
      </w:r>
    </w:p>
    <w:p w14:paraId="2367F4C2">
      <w:pPr>
        <w:pStyle w:val="6"/>
        <w:widowControl/>
        <w:numPr>
          <w:ilvl w:val="0"/>
          <w:numId w:val="6"/>
        </w:numPr>
        <w:spacing w:line="480" w:lineRule="auto"/>
        <w:ind w:left="1118" w:leftChars="0" w:right="0" w:rightChars="0" w:hanging="458" w:firstLineChars="0"/>
        <w:contextualSpacing/>
        <w:jc w:val="both"/>
        <w:rPr>
          <w:lang w:val="en-US"/>
        </w:rPr>
      </w:pPr>
      <w:r>
        <w:rPr>
          <w:rFonts w:hint="default" w:ascii="Times New Roman" w:hAnsi="Times New Roman" w:eastAsia="Times New Roman" w:cs="Times New Roman"/>
          <w:bCs/>
          <w:sz w:val="24"/>
          <w:szCs w:val="24"/>
          <w:lang w:val="en-US"/>
        </w:rPr>
        <w:t>Kitab Undang-Undang Hukum Acara Pidana (KUHAP).</w:t>
      </w:r>
    </w:p>
    <w:p w14:paraId="36FA4E5D">
      <w:pPr>
        <w:pStyle w:val="6"/>
        <w:widowControl/>
        <w:numPr>
          <w:ilvl w:val="0"/>
          <w:numId w:val="6"/>
        </w:numPr>
        <w:tabs>
          <w:tab w:val="left" w:pos="1100"/>
          <w:tab w:val="left" w:pos="1440"/>
        </w:tabs>
        <w:spacing w:line="480" w:lineRule="auto"/>
        <w:ind w:left="1094" w:leftChars="299" w:hanging="436" w:hangingChars="182"/>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Undang-Undang Nomor 30 Tahun 2002 jo. Undang-Undang Nomor 19 Tahun 2019 tentang Komisi Pemberantasan Korupsi (KPK).</w:t>
      </w:r>
    </w:p>
    <w:p w14:paraId="5C744AD7">
      <w:pPr>
        <w:pStyle w:val="6"/>
        <w:widowControl/>
        <w:numPr>
          <w:ilvl w:val="0"/>
          <w:numId w:val="6"/>
        </w:numPr>
        <w:tabs>
          <w:tab w:val="left" w:pos="1100"/>
        </w:tabs>
        <w:spacing w:line="480" w:lineRule="auto"/>
        <w:ind w:left="1094" w:leftChars="299" w:hanging="436" w:hangingChars="182"/>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Undang-Undang Nomor 8 Tahun 2010 tentang Pencegahan dan Pemberantasan Tindak Pidana Pencucian Uang (TPPU).</w:t>
      </w:r>
    </w:p>
    <w:p w14:paraId="5198E40C">
      <w:pPr>
        <w:pStyle w:val="6"/>
        <w:widowControl/>
        <w:numPr>
          <w:ilvl w:val="0"/>
          <w:numId w:val="6"/>
        </w:numPr>
        <w:tabs>
          <w:tab w:val="left" w:pos="1100"/>
          <w:tab w:val="left" w:pos="1170"/>
        </w:tabs>
        <w:spacing w:line="480" w:lineRule="auto"/>
        <w:ind w:left="1094" w:leftChars="299" w:hanging="436" w:hangingChars="182"/>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Undang-Undang Nomor 1 Tahun 2006 tentang Bantuan Timbal Balik dalam Masalah Pidana (UU MLA).</w:t>
      </w:r>
    </w:p>
    <w:p w14:paraId="333AC89A">
      <w:pPr>
        <w:pStyle w:val="6"/>
        <w:widowControl/>
        <w:numPr>
          <w:ilvl w:val="0"/>
          <w:numId w:val="6"/>
        </w:numPr>
        <w:tabs>
          <w:tab w:val="left" w:pos="1100"/>
        </w:tabs>
        <w:spacing w:line="480" w:lineRule="auto"/>
        <w:ind w:left="1094" w:leftChars="299" w:hanging="436" w:hangingChars="182"/>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Undang-Undang Nomor 1 Tahun 1979 tentang Ekstradisi.</w:t>
      </w:r>
    </w:p>
    <w:p w14:paraId="3D7BD839">
      <w:pPr>
        <w:pStyle w:val="6"/>
        <w:widowControl/>
        <w:numPr>
          <w:ilvl w:val="0"/>
          <w:numId w:val="4"/>
        </w:numPr>
        <w:tabs>
          <w:tab w:val="left" w:pos="720"/>
        </w:tabs>
        <w:spacing w:line="480" w:lineRule="auto"/>
        <w:ind w:left="1800" w:leftChars="0" w:hanging="1360" w:firstLineChars="0"/>
        <w:contextualSpacing/>
        <w:jc w:val="both"/>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Dokumen Resmi dan Putusan Pengadilan:</w:t>
      </w:r>
    </w:p>
    <w:p w14:paraId="173DE6DE">
      <w:pPr>
        <w:pStyle w:val="6"/>
        <w:widowControl/>
        <w:numPr>
          <w:ilvl w:val="0"/>
          <w:numId w:val="7"/>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United States Department of Justice, FIFA Indictment Press Release, 2015.</w:t>
      </w:r>
    </w:p>
    <w:p w14:paraId="7BBEF849">
      <w:pPr>
        <w:pStyle w:val="6"/>
        <w:widowControl/>
        <w:numPr>
          <w:ilvl w:val="0"/>
          <w:numId w:val="7"/>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FIFA Ethics Committee Report 2016.</w:t>
      </w:r>
    </w:p>
    <w:p w14:paraId="747E910B">
      <w:pPr>
        <w:pStyle w:val="6"/>
        <w:widowControl/>
        <w:numPr>
          <w:ilvl w:val="0"/>
          <w:numId w:val="7"/>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Michael J. Garcia, Report on the Inquiry into the 2018/2022 FIFA World Cup Bidding Process (FIFA, 2014).</w:t>
      </w:r>
    </w:p>
    <w:p w14:paraId="4B846BED">
      <w:pPr>
        <w:pStyle w:val="6"/>
        <w:widowControl/>
        <w:numPr>
          <w:ilvl w:val="0"/>
          <w:numId w:val="7"/>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Swiss Federal Court, ISL Case Judgment (2010).</w:t>
      </w:r>
      <w:bookmarkStart w:id="2" w:name="_GoBack"/>
      <w:bookmarkEnd w:id="2"/>
    </w:p>
    <w:p w14:paraId="75C9885F">
      <w:pPr>
        <w:pStyle w:val="6"/>
        <w:widowControl/>
        <w:numPr>
          <w:ilvl w:val="0"/>
          <w:numId w:val="7"/>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DOJ Indictment, United States v. Webb, et al. (2015).</w:t>
      </w:r>
    </w:p>
    <w:p w14:paraId="17B38848">
      <w:pPr>
        <w:pStyle w:val="6"/>
        <w:widowControl/>
        <w:numPr>
          <w:ilvl w:val="0"/>
          <w:numId w:val="7"/>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DOJ Press Release, Brazilian Sports Marketing Executive Pleads Guilty (Dec 2014).</w:t>
      </w:r>
    </w:p>
    <w:p w14:paraId="5162B778">
      <w:pPr>
        <w:pStyle w:val="6"/>
        <w:widowControl/>
        <w:numPr>
          <w:ilvl w:val="0"/>
          <w:numId w:val="7"/>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DOJ Press Release, Former FIFA Vice President Jeffrey Webb Pleads Guilty (2015).</w:t>
      </w:r>
    </w:p>
    <w:p w14:paraId="0F5823FB">
      <w:pPr>
        <w:pStyle w:val="6"/>
        <w:widowControl/>
        <w:numPr>
          <w:ilvl w:val="0"/>
          <w:numId w:val="7"/>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DOJ, Superseding Indictment United States v. Webb, et al. (2015).</w:t>
      </w:r>
    </w:p>
    <w:p w14:paraId="51B3471B">
      <w:pPr>
        <w:pStyle w:val="6"/>
        <w:widowControl/>
        <w:numPr>
          <w:ilvl w:val="0"/>
          <w:numId w:val="8"/>
        </w:numPr>
        <w:spacing w:line="480" w:lineRule="auto"/>
        <w:ind w:left="660" w:leftChars="0" w:hanging="440" w:firstLineChars="0"/>
        <w:contextualSpacing/>
        <w:jc w:val="both"/>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Buku:</w:t>
      </w:r>
    </w:p>
    <w:p w14:paraId="4EEA3482">
      <w:pPr>
        <w:pStyle w:val="6"/>
        <w:widowControl/>
        <w:numPr>
          <w:ilvl w:val="0"/>
          <w:numId w:val="9"/>
        </w:numPr>
        <w:spacing w:line="480" w:lineRule="auto"/>
        <w:ind w:left="1100" w:leftChars="0" w:right="0" w:righ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Nicholson, Paul. </w:t>
      </w:r>
      <w:r>
        <w:rPr>
          <w:rFonts w:hint="default" w:ascii="Times New Roman" w:hAnsi="Times New Roman" w:eastAsia="Times New Roman" w:cs="Times New Roman"/>
          <w:bCs/>
          <w:i/>
          <w:iCs/>
          <w:sz w:val="24"/>
          <w:szCs w:val="24"/>
          <w:lang w:val="en-US"/>
        </w:rPr>
        <w:t>Football’s Governance and Corruption: FIFA and Beyond. Routledge</w:t>
      </w:r>
      <w:r>
        <w:rPr>
          <w:rFonts w:hint="default" w:ascii="Times New Roman" w:hAnsi="Times New Roman" w:eastAsia="Times New Roman" w:cs="Times New Roman"/>
          <w:bCs/>
          <w:sz w:val="24"/>
          <w:szCs w:val="24"/>
          <w:lang w:val="en-US"/>
        </w:rPr>
        <w:t>, London, 2016.</w:t>
      </w:r>
    </w:p>
    <w:p w14:paraId="68D89F58">
      <w:pPr>
        <w:pStyle w:val="6"/>
        <w:widowControl/>
        <w:numPr>
          <w:ilvl w:val="0"/>
          <w:numId w:val="9"/>
        </w:numPr>
        <w:spacing w:line="480" w:lineRule="auto"/>
        <w:ind w:left="1100" w:leftChars="0" w:right="0" w:righ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Muqoddas, M. Busyro. </w:t>
      </w:r>
      <w:r>
        <w:rPr>
          <w:rFonts w:hint="default" w:ascii="Times New Roman" w:hAnsi="Times New Roman" w:eastAsia="Times New Roman" w:cs="Times New Roman"/>
          <w:bCs/>
          <w:i/>
          <w:iCs/>
          <w:sz w:val="24"/>
          <w:szCs w:val="24"/>
          <w:lang w:val="en-US"/>
        </w:rPr>
        <w:t xml:space="preserve">Korupsi di Indonesia: Masalah dan Solusinya. </w:t>
      </w:r>
      <w:r>
        <w:rPr>
          <w:rFonts w:hint="default" w:ascii="Times New Roman" w:hAnsi="Times New Roman" w:eastAsia="Times New Roman" w:cs="Times New Roman"/>
          <w:bCs/>
          <w:sz w:val="24"/>
          <w:szCs w:val="24"/>
          <w:lang w:val="en-US"/>
        </w:rPr>
        <w:t>Yogyakarta: FH UII Press, 2018.</w:t>
      </w:r>
    </w:p>
    <w:p w14:paraId="3B9BE40B">
      <w:pPr>
        <w:pStyle w:val="6"/>
        <w:widowControl/>
        <w:numPr>
          <w:ilvl w:val="0"/>
          <w:numId w:val="9"/>
        </w:numPr>
        <w:spacing w:line="480" w:lineRule="auto"/>
        <w:ind w:left="1100" w:leftChars="0" w:right="0" w:righ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Brownlie, Ian. </w:t>
      </w:r>
      <w:r>
        <w:rPr>
          <w:rFonts w:hint="default" w:ascii="Times New Roman" w:hAnsi="Times New Roman" w:eastAsia="Times New Roman" w:cs="Times New Roman"/>
          <w:bCs/>
          <w:i/>
          <w:iCs/>
          <w:sz w:val="24"/>
          <w:szCs w:val="24"/>
          <w:lang w:val="en-US"/>
        </w:rPr>
        <w:t>Principles of Public International Law.</w:t>
      </w:r>
      <w:r>
        <w:rPr>
          <w:rFonts w:hint="default" w:ascii="Times New Roman" w:hAnsi="Times New Roman" w:eastAsia="Times New Roman" w:cs="Times New Roman"/>
          <w:bCs/>
          <w:sz w:val="24"/>
          <w:szCs w:val="24"/>
          <w:lang w:val="en-US"/>
        </w:rPr>
        <w:t xml:space="preserve"> Oxford University Press, 2012.</w:t>
      </w:r>
    </w:p>
    <w:p w14:paraId="23363C52">
      <w:pPr>
        <w:pStyle w:val="6"/>
        <w:widowControl/>
        <w:numPr>
          <w:ilvl w:val="0"/>
          <w:numId w:val="9"/>
        </w:numPr>
        <w:spacing w:line="480" w:lineRule="auto"/>
        <w:ind w:left="1100" w:leftChars="0" w:right="0" w:righ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Jennings, Andrew. </w:t>
      </w:r>
      <w:r>
        <w:rPr>
          <w:rFonts w:hint="default" w:ascii="Times New Roman" w:hAnsi="Times New Roman" w:eastAsia="Times New Roman" w:cs="Times New Roman"/>
          <w:bCs/>
          <w:i/>
          <w:iCs/>
          <w:sz w:val="24"/>
          <w:szCs w:val="24"/>
          <w:lang w:val="en-US"/>
        </w:rPr>
        <w:t>The Dir</w:t>
      </w:r>
    </w:p>
    <w:p w14:paraId="2DED9AAC">
      <w:pPr>
        <w:pStyle w:val="6"/>
        <w:widowControl/>
        <w:numPr>
          <w:ilvl w:val="0"/>
          <w:numId w:val="9"/>
        </w:numPr>
        <w:spacing w:line="480" w:lineRule="auto"/>
        <w:ind w:left="1100" w:leftChars="0" w:right="0" w:righ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i/>
          <w:iCs/>
          <w:sz w:val="24"/>
          <w:szCs w:val="24"/>
          <w:lang w:val="en-US"/>
        </w:rPr>
        <w:t>ty Game: Uncovering the Scandal at FIFA. Century</w:t>
      </w:r>
      <w:r>
        <w:rPr>
          <w:rFonts w:hint="default" w:ascii="Times New Roman" w:hAnsi="Times New Roman" w:eastAsia="Times New Roman" w:cs="Times New Roman"/>
          <w:bCs/>
          <w:sz w:val="24"/>
          <w:szCs w:val="24"/>
          <w:lang w:val="en-US"/>
        </w:rPr>
        <w:t xml:space="preserve">, London, 2015.Vlassis, Dimitri. </w:t>
      </w:r>
      <w:r>
        <w:rPr>
          <w:rFonts w:hint="default" w:ascii="Times New Roman" w:hAnsi="Times New Roman" w:eastAsia="Times New Roman" w:cs="Times New Roman"/>
          <w:bCs/>
          <w:i/>
          <w:iCs/>
          <w:sz w:val="24"/>
          <w:szCs w:val="24"/>
          <w:lang w:val="en-US"/>
        </w:rPr>
        <w:t>The United Nations Convention against Corruption: Origins and Negotiation Process</w:t>
      </w:r>
      <w:r>
        <w:rPr>
          <w:rFonts w:hint="default" w:ascii="Times New Roman" w:hAnsi="Times New Roman" w:eastAsia="Times New Roman" w:cs="Times New Roman"/>
          <w:bCs/>
          <w:sz w:val="24"/>
          <w:szCs w:val="24"/>
          <w:lang w:val="en-US"/>
        </w:rPr>
        <w:t>. UNODC, 2005.</w:t>
      </w:r>
    </w:p>
    <w:p w14:paraId="5312C6FC">
      <w:pPr>
        <w:pStyle w:val="6"/>
        <w:widowControl/>
        <w:numPr>
          <w:ilvl w:val="0"/>
          <w:numId w:val="9"/>
        </w:numPr>
        <w:spacing w:line="480" w:lineRule="auto"/>
        <w:ind w:left="1100" w:leftChars="0" w:right="0" w:righ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Boister, Neil. </w:t>
      </w:r>
      <w:r>
        <w:rPr>
          <w:rFonts w:hint="default" w:ascii="Times New Roman" w:hAnsi="Times New Roman" w:eastAsia="Times New Roman" w:cs="Times New Roman"/>
          <w:bCs/>
          <w:i/>
          <w:iCs/>
          <w:sz w:val="24"/>
          <w:szCs w:val="24"/>
          <w:lang w:val="en-US"/>
        </w:rPr>
        <w:t>An Introduction to Transnational Criminal Law</w:t>
      </w:r>
      <w:r>
        <w:rPr>
          <w:rFonts w:hint="default" w:ascii="Times New Roman" w:hAnsi="Times New Roman" w:eastAsia="Times New Roman" w:cs="Times New Roman"/>
          <w:bCs/>
          <w:sz w:val="24"/>
          <w:szCs w:val="24"/>
          <w:lang w:val="en-US"/>
        </w:rPr>
        <w:t>. OUP, 2012.</w:t>
      </w:r>
    </w:p>
    <w:p w14:paraId="0AC66A93">
      <w:pPr>
        <w:pStyle w:val="6"/>
        <w:widowControl/>
        <w:numPr>
          <w:ilvl w:val="0"/>
          <w:numId w:val="9"/>
        </w:numPr>
        <w:spacing w:line="480" w:lineRule="auto"/>
        <w:ind w:left="1100" w:leftChars="0" w:right="0" w:righ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Diantha, I. M. P. </w:t>
      </w:r>
      <w:r>
        <w:rPr>
          <w:rFonts w:hint="default" w:ascii="Times New Roman" w:hAnsi="Times New Roman" w:eastAsia="Times New Roman" w:cs="Times New Roman"/>
          <w:bCs/>
          <w:i/>
          <w:iCs/>
          <w:sz w:val="24"/>
          <w:szCs w:val="24"/>
          <w:lang w:val="en-US"/>
        </w:rPr>
        <w:t xml:space="preserve">Metodologi Penelitian Hukum Normatif dalam Justifikasi Teori Hukum. </w:t>
      </w:r>
      <w:r>
        <w:rPr>
          <w:rFonts w:hint="default" w:ascii="Times New Roman" w:hAnsi="Times New Roman" w:eastAsia="Times New Roman" w:cs="Times New Roman"/>
          <w:bCs/>
          <w:sz w:val="24"/>
          <w:szCs w:val="24"/>
          <w:lang w:val="en-US"/>
        </w:rPr>
        <w:t>Jakarta: Kencana, 2016.</w:t>
      </w:r>
    </w:p>
    <w:p w14:paraId="5E9FCC33">
      <w:pPr>
        <w:pStyle w:val="6"/>
        <w:widowControl/>
        <w:numPr>
          <w:ilvl w:val="0"/>
          <w:numId w:val="10"/>
        </w:numPr>
        <w:spacing w:line="480" w:lineRule="auto"/>
        <w:ind w:left="660" w:leftChars="0" w:hanging="220" w:firstLineChars="0"/>
        <w:contextualSpacing/>
        <w:jc w:val="both"/>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Jurnal Ilmiah dan Artikel:</w:t>
      </w:r>
    </w:p>
    <w:p w14:paraId="16D612F7">
      <w:pPr>
        <w:pStyle w:val="6"/>
        <w:widowControl/>
        <w:numPr>
          <w:ilvl w:val="0"/>
          <w:numId w:val="11"/>
        </w:numPr>
        <w:tabs>
          <w:tab w:val="left" w:pos="1100"/>
        </w:tabs>
        <w:spacing w:line="480" w:lineRule="auto"/>
        <w:ind w:left="1110" w:leftChars="0" w:hanging="45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Adhari, A., Aprilia, I. S., &amp; Widyawati, A. (2023). </w:t>
      </w:r>
      <w:r>
        <w:rPr>
          <w:rFonts w:hint="default" w:ascii="Times New Roman" w:hAnsi="Times New Roman" w:eastAsia="Times New Roman" w:cs="Times New Roman"/>
          <w:bCs/>
          <w:i/>
          <w:iCs/>
          <w:sz w:val="24"/>
          <w:szCs w:val="24"/>
          <w:lang w:val="en-US"/>
        </w:rPr>
        <w:t xml:space="preserve">Peran Perbandingan Hukum Pidana terhadap Kebijakan Formulasi Delik Memperdagangkan Pengaruh (Trading in Influence) sebagai Tindak Pidana Korupsi. </w:t>
      </w:r>
      <w:r>
        <w:rPr>
          <w:rFonts w:hint="default" w:ascii="Times New Roman" w:hAnsi="Times New Roman" w:eastAsia="Times New Roman" w:cs="Times New Roman"/>
          <w:bCs/>
          <w:sz w:val="24"/>
          <w:szCs w:val="24"/>
          <w:lang w:val="en-US"/>
        </w:rPr>
        <w:t>Jurnal Hukum &amp; Pembangunan, 53(2), 331–346.</w:t>
      </w:r>
    </w:p>
    <w:p w14:paraId="4F6B4231">
      <w:pPr>
        <w:pStyle w:val="6"/>
        <w:widowControl/>
        <w:numPr>
          <w:ilvl w:val="0"/>
          <w:numId w:val="11"/>
        </w:numPr>
        <w:tabs>
          <w:tab w:val="left" w:pos="1100"/>
        </w:tabs>
        <w:spacing w:line="480" w:lineRule="auto"/>
        <w:ind w:left="1110" w:leftChars="0" w:hanging="45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Aldrich, K., Hafa, G., Syahputra, R., &amp; Kinanti, F. (2025). </w:t>
      </w:r>
      <w:r>
        <w:rPr>
          <w:rFonts w:hint="default" w:ascii="Times New Roman" w:hAnsi="Times New Roman" w:eastAsia="Times New Roman" w:cs="Times New Roman"/>
          <w:bCs/>
          <w:i/>
          <w:iCs/>
          <w:sz w:val="24"/>
          <w:szCs w:val="24"/>
          <w:lang w:val="en-US"/>
        </w:rPr>
        <w:t>Signifikansi Organisasi Internasional G-20 Dengan Pembentukan Kebijakan Luar Negeri Indonesai Pada Era Jokowi Dan Prabowo.</w:t>
      </w:r>
      <w:r>
        <w:rPr>
          <w:rFonts w:hint="default" w:ascii="Times New Roman" w:hAnsi="Times New Roman" w:eastAsia="Times New Roman" w:cs="Times New Roman"/>
          <w:bCs/>
          <w:sz w:val="24"/>
          <w:szCs w:val="24"/>
          <w:lang w:val="en-US"/>
        </w:rPr>
        <w:t xml:space="preserve"> Politeia: Jurnal Ilmu Politik, 17(1), 67–76.</w:t>
      </w:r>
    </w:p>
    <w:p w14:paraId="7FF494AC">
      <w:pPr>
        <w:pStyle w:val="6"/>
        <w:widowControl/>
        <w:numPr>
          <w:ilvl w:val="0"/>
          <w:numId w:val="11"/>
        </w:numPr>
        <w:tabs>
          <w:tab w:val="left" w:pos="1100"/>
        </w:tabs>
        <w:spacing w:line="480" w:lineRule="auto"/>
        <w:ind w:left="1110" w:leftChars="0" w:hanging="45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Asyujuti, M. F., Pertiwi, F. H., Adawiyah, S. L., Mulyanti, E., Mustika, Y., &amp; Latifah, A. (2025). </w:t>
      </w:r>
      <w:r>
        <w:rPr>
          <w:rFonts w:hint="default" w:ascii="Times New Roman" w:hAnsi="Times New Roman" w:eastAsia="Times New Roman" w:cs="Times New Roman"/>
          <w:bCs/>
          <w:i/>
          <w:iCs/>
          <w:sz w:val="24"/>
          <w:szCs w:val="24"/>
          <w:lang w:val="en-US"/>
        </w:rPr>
        <w:t xml:space="preserve">Pendekatan Integratif dalam Pencegahan Korupsi: Studi Kasus dan Solusi Berbasis Transparansi dan Partisipasi Publik. </w:t>
      </w:r>
      <w:r>
        <w:rPr>
          <w:rFonts w:hint="default" w:ascii="Times New Roman" w:hAnsi="Times New Roman" w:eastAsia="Times New Roman" w:cs="Times New Roman"/>
          <w:bCs/>
          <w:sz w:val="24"/>
          <w:szCs w:val="24"/>
          <w:lang w:val="en-US"/>
        </w:rPr>
        <w:t>Jurnal Penelitian Inovatif, 5(1), 791–802.</w:t>
      </w:r>
    </w:p>
    <w:p w14:paraId="1FAA0D72">
      <w:pPr>
        <w:pStyle w:val="6"/>
        <w:widowControl/>
        <w:numPr>
          <w:ilvl w:val="0"/>
          <w:numId w:val="11"/>
        </w:numPr>
        <w:tabs>
          <w:tab w:val="left" w:pos="1100"/>
        </w:tabs>
        <w:spacing w:line="480" w:lineRule="auto"/>
        <w:ind w:left="1110" w:leftChars="0" w:hanging="45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Bau, M. I. (2025). </w:t>
      </w:r>
      <w:r>
        <w:rPr>
          <w:rFonts w:hint="default" w:ascii="Times New Roman" w:hAnsi="Times New Roman" w:eastAsia="Times New Roman" w:cs="Times New Roman"/>
          <w:bCs/>
          <w:i/>
          <w:iCs/>
          <w:sz w:val="24"/>
          <w:szCs w:val="24"/>
          <w:lang w:val="en-US"/>
        </w:rPr>
        <w:t>Penanganan Tindak Pidana Korupsi dalam Penyelenggaraan Pemerintah Daerah.</w:t>
      </w:r>
      <w:r>
        <w:rPr>
          <w:rFonts w:hint="default" w:ascii="Times New Roman" w:hAnsi="Times New Roman" w:eastAsia="Times New Roman" w:cs="Times New Roman"/>
          <w:bCs/>
          <w:sz w:val="24"/>
          <w:szCs w:val="24"/>
          <w:lang w:val="en-US"/>
        </w:rPr>
        <w:t xml:space="preserve"> Journal Evidence Of Law, 4(1), 329–337.</w:t>
      </w:r>
    </w:p>
    <w:p w14:paraId="49248BCD">
      <w:pPr>
        <w:pStyle w:val="6"/>
        <w:widowControl/>
        <w:numPr>
          <w:ilvl w:val="0"/>
          <w:numId w:val="11"/>
        </w:numPr>
        <w:tabs>
          <w:tab w:val="left" w:pos="1100"/>
        </w:tabs>
        <w:spacing w:line="480" w:lineRule="auto"/>
        <w:ind w:left="1110" w:leftChars="0" w:hanging="45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Fajri, N. N., Purwanti, T. H. N., &amp; Azizah, A. N. (2025). “Penerapan Hukum Pidana Khusus Dan Evaluasi Penerapan Hukum Pada Tindak Pidana Korupsi: Tata Niaga Timah.” Madani Legal Review, 9(1), 55–71.</w:t>
      </w:r>
    </w:p>
    <w:p w14:paraId="74B3E32C">
      <w:pPr>
        <w:pStyle w:val="6"/>
        <w:widowControl/>
        <w:numPr>
          <w:ilvl w:val="0"/>
          <w:numId w:val="11"/>
        </w:numPr>
        <w:tabs>
          <w:tab w:val="left" w:pos="1100"/>
        </w:tabs>
        <w:spacing w:line="480" w:lineRule="auto"/>
        <w:ind w:left="1110" w:leftChars="0" w:hanging="45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Farhan, M., &amp; Nur, Z. (2025). </w:t>
      </w:r>
      <w:r>
        <w:rPr>
          <w:rFonts w:hint="default" w:ascii="Times New Roman" w:hAnsi="Times New Roman" w:eastAsia="Times New Roman" w:cs="Times New Roman"/>
          <w:bCs/>
          <w:i/>
          <w:iCs/>
          <w:sz w:val="24"/>
          <w:szCs w:val="24"/>
          <w:lang w:val="en-US"/>
        </w:rPr>
        <w:t>Pencegahan Korupsi Demi Kepentingan Nasional melalui Instrumen Hukum Internasional.</w:t>
      </w:r>
      <w:r>
        <w:rPr>
          <w:rFonts w:hint="default" w:ascii="Times New Roman" w:hAnsi="Times New Roman" w:eastAsia="Times New Roman" w:cs="Times New Roman"/>
          <w:bCs/>
          <w:sz w:val="24"/>
          <w:szCs w:val="24"/>
          <w:lang w:val="en-US"/>
        </w:rPr>
        <w:t xml:space="preserve"> Bhakti: Jurnal Antikorupsi, 1(1), 1–11.</w:t>
      </w:r>
    </w:p>
    <w:p w14:paraId="4A36B475">
      <w:pPr>
        <w:pStyle w:val="6"/>
        <w:widowControl/>
        <w:numPr>
          <w:ilvl w:val="0"/>
          <w:numId w:val="11"/>
        </w:numPr>
        <w:tabs>
          <w:tab w:val="left" w:pos="1100"/>
        </w:tabs>
        <w:spacing w:line="480" w:lineRule="auto"/>
        <w:ind w:left="1110" w:leftChars="0" w:hanging="45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Frahma, E. A. (2025). </w:t>
      </w:r>
      <w:r>
        <w:rPr>
          <w:rFonts w:hint="default" w:ascii="Times New Roman" w:hAnsi="Times New Roman" w:eastAsia="Times New Roman" w:cs="Times New Roman"/>
          <w:bCs/>
          <w:i/>
          <w:iCs/>
          <w:sz w:val="24"/>
          <w:szCs w:val="24"/>
          <w:lang w:val="en-US"/>
        </w:rPr>
        <w:t>Peran Organisasi Internasional dalam Penanggulangan Kejahatan Transnasional: Studi Atas Dinamika Kerja Sama Antarnegara ASEAN.</w:t>
      </w:r>
      <w:r>
        <w:rPr>
          <w:rFonts w:hint="default" w:ascii="Times New Roman" w:hAnsi="Times New Roman" w:eastAsia="Times New Roman" w:cs="Times New Roman"/>
          <w:bCs/>
          <w:sz w:val="24"/>
          <w:szCs w:val="24"/>
          <w:lang w:val="en-US"/>
        </w:rPr>
        <w:t xml:space="preserve"> Iuris Studia: Jurnal Kajian Hukum, 6(2), 253–262.</w:t>
      </w:r>
    </w:p>
    <w:p w14:paraId="11A21B73">
      <w:pPr>
        <w:pStyle w:val="6"/>
        <w:widowControl/>
        <w:numPr>
          <w:ilvl w:val="0"/>
          <w:numId w:val="11"/>
        </w:numPr>
        <w:tabs>
          <w:tab w:val="left" w:pos="1100"/>
        </w:tabs>
        <w:spacing w:line="480" w:lineRule="auto"/>
        <w:ind w:left="1110" w:leftChars="0" w:hanging="45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Gorse, Samantha &amp; Chadwick, Simon. (2010). “The Corruption of FIFA: A Theoretical Framework.” Journal of Business Ethics, 97(4).</w:t>
      </w:r>
    </w:p>
    <w:p w14:paraId="4423B3F4">
      <w:pPr>
        <w:pStyle w:val="6"/>
        <w:widowControl/>
        <w:numPr>
          <w:ilvl w:val="0"/>
          <w:numId w:val="11"/>
        </w:numPr>
        <w:tabs>
          <w:tab w:val="left" w:pos="1100"/>
        </w:tabs>
        <w:spacing w:line="480" w:lineRule="auto"/>
        <w:ind w:left="1110" w:leftChars="0" w:hanging="45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Mamesah, C. N. (2024). “Penegakan Hukum Terhadap Kasus Korupsi Sebagai Implementasi The United Nations Convention Against Corruption (UNCAC) di Indonesia.” Lex Privatum, 14(3).</w:t>
      </w:r>
    </w:p>
    <w:p w14:paraId="2F6EE558">
      <w:pPr>
        <w:pStyle w:val="6"/>
        <w:widowControl/>
        <w:numPr>
          <w:ilvl w:val="0"/>
          <w:numId w:val="11"/>
        </w:numPr>
        <w:tabs>
          <w:tab w:val="left" w:pos="1100"/>
        </w:tabs>
        <w:spacing w:line="480" w:lineRule="auto"/>
        <w:ind w:left="1110" w:leftChars="0" w:hanging="45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Nurrohmah, A., &amp; Setiawati, E. (2025). “Ideologi Wacana Korupsi dalam Pemberitaan Kasus Korupsi PT Timah pada Portal Berita Tempo.co.” Diglosia: Jurnal Kajian Bahasa, Sastra, dan Pengajarannya, 8(1), 157–170.</w:t>
      </w:r>
    </w:p>
    <w:p w14:paraId="3334F0E1">
      <w:pPr>
        <w:pStyle w:val="6"/>
        <w:widowControl/>
        <w:numPr>
          <w:ilvl w:val="0"/>
          <w:numId w:val="11"/>
        </w:numPr>
        <w:tabs>
          <w:tab w:val="left" w:pos="1100"/>
        </w:tabs>
        <w:spacing w:line="480" w:lineRule="auto"/>
        <w:ind w:left="1110" w:leftChars="0" w:hanging="45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Paramitha, S. T., Januarsyah, Z., &amp; Putra, M. (2024). “Menelusuri Kasus Penyuapan Presiden FIFA dalam Perspektif Hukum Pidana Internasional.” Jurnal Ilmu Hukum, Humaniora dan Politik (JIHHP), 4(6).</w:t>
      </w:r>
    </w:p>
    <w:p w14:paraId="1F49350B">
      <w:pPr>
        <w:pStyle w:val="6"/>
        <w:widowControl/>
        <w:numPr>
          <w:ilvl w:val="0"/>
          <w:numId w:val="11"/>
        </w:numPr>
        <w:tabs>
          <w:tab w:val="left" w:pos="1100"/>
        </w:tabs>
        <w:spacing w:line="480" w:lineRule="auto"/>
        <w:ind w:left="1110" w:leftChars="0" w:hanging="45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Puanandini, D. A., Maharani, V. S., &amp; Anasela, P. (2025). “Korupsi sebagai Kejahatan Luar Biasa: Analisis Dampak dan Upaya Penegakan Hukum.” Public Sphere: Jurnal Sosial Politik, Pemerintahan dan Hukum, 4(1).</w:t>
      </w:r>
    </w:p>
    <w:p w14:paraId="13CC7AD6">
      <w:pPr>
        <w:pStyle w:val="6"/>
        <w:widowControl/>
        <w:numPr>
          <w:ilvl w:val="0"/>
          <w:numId w:val="11"/>
        </w:numPr>
        <w:tabs>
          <w:tab w:val="left" w:pos="1100"/>
        </w:tabs>
        <w:spacing w:line="480" w:lineRule="auto"/>
        <w:ind w:left="1110" w:leftChars="0" w:hanging="45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Randywinata, R. (2025). “Peran Pendidikan Anti-Korupsi di Lembaga Kepolisian dalam Membentuk Anggota Polri yang Bebas Korupsi.” Journal of Management and Creative Business, 3(1), 132–139.</w:t>
      </w:r>
    </w:p>
    <w:p w14:paraId="3BFBCF43">
      <w:pPr>
        <w:pStyle w:val="6"/>
        <w:widowControl/>
        <w:numPr>
          <w:ilvl w:val="0"/>
          <w:numId w:val="11"/>
        </w:numPr>
        <w:tabs>
          <w:tab w:val="left" w:pos="1100"/>
        </w:tabs>
        <w:spacing w:line="480" w:lineRule="auto"/>
        <w:ind w:left="1110" w:leftChars="0" w:hanging="450" w:firstLineChars="0"/>
        <w:contextualSpacing/>
        <w:jc w:val="both"/>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Cs/>
          <w:sz w:val="24"/>
          <w:szCs w:val="24"/>
          <w:lang w:val="en-US"/>
        </w:rPr>
        <w:t>Sachruddin, S., Kadir, Y., &amp; Bunga, M. (2025). “Penegakan Hukum Pidana terhadap Korporasi dalam Tindak Pidana Korupsi.” Jurnal Hukum, Administrasi Publik dan Negara, 2(3), 52–70.</w:t>
      </w:r>
    </w:p>
    <w:p w14:paraId="5EDD28C7">
      <w:pPr>
        <w:pStyle w:val="6"/>
        <w:widowControl/>
        <w:numPr>
          <w:ilvl w:val="0"/>
          <w:numId w:val="10"/>
        </w:numPr>
        <w:tabs>
          <w:tab w:val="left" w:pos="1100"/>
        </w:tabs>
        <w:spacing w:line="480" w:lineRule="auto"/>
        <w:ind w:left="660" w:leftChars="0" w:right="0" w:rightChars="0" w:hanging="220" w:firstLineChars="0"/>
        <w:contextualSpacing/>
        <w:jc w:val="both"/>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 xml:space="preserve"> Laporan dan Publikasi Organisasi Internasional:</w:t>
      </w:r>
    </w:p>
    <w:p w14:paraId="45310AE4">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World Bank, Governance and Anti-Corruption Strategy. Washington DC, 2007.</w:t>
      </w:r>
    </w:p>
    <w:p w14:paraId="0465211B">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UNODC, Review of the Implementation of the United Nations Convention against Corruption, 2019.</w:t>
      </w:r>
    </w:p>
    <w:p w14:paraId="39C86CC3">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Transparency International, Corruption in Sport: The Ongoing Challenge, 2016.</w:t>
      </w:r>
    </w:p>
    <w:p w14:paraId="156AB1A2">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Transparency International, Corruption in Sport: The Role of FIFA, 2016.</w:t>
      </w:r>
    </w:p>
    <w:p w14:paraId="3D37ACD1">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Financial Action Task Force (FATF), Money Laundering Risks Arising from Corruption in Sports, 2017.</w:t>
      </w:r>
    </w:p>
    <w:p w14:paraId="6BB5D975">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UNODC, Legislative Guide for the Implementation of the United Nations Convention against Corruption, 2nd ed., 2012.</w:t>
      </w:r>
    </w:p>
    <w:p w14:paraId="04FD5084">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UNODC, Resource Guide on Good Practices in the Protection of Reporting Persons, 2015.</w:t>
      </w:r>
    </w:p>
    <w:p w14:paraId="0D681DE5">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FATF, International Standards on Combating Money Laundering and the Financing of Terrorism &amp; Proliferation (The FATF Recommendations), 2012 (rev.).</w:t>
      </w:r>
    </w:p>
    <w:p w14:paraId="3FE02B01">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StAR (World Bank–UNODC), Asset Recovery Handbook, 2nd ed., 2020.</w:t>
      </w:r>
    </w:p>
    <w:p w14:paraId="0BC37AFC">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Berita dan Media Massa (sebagai referensi kronologi/fakta kasus):</w:t>
      </w:r>
    </w:p>
    <w:p w14:paraId="31F3F16A">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The Guardian, </w:t>
      </w:r>
      <w:r>
        <w:rPr>
          <w:rFonts w:hint="default" w:ascii="Times New Roman" w:hAnsi="Times New Roman" w:eastAsia="Times New Roman" w:cs="Times New Roman"/>
          <w:bCs/>
          <w:i/>
          <w:iCs/>
          <w:sz w:val="24"/>
          <w:szCs w:val="24"/>
          <w:lang w:val="en-US"/>
        </w:rPr>
        <w:t xml:space="preserve">Russia and Qatar Win World Cup Bids Amid Corruption Allegations </w:t>
      </w:r>
      <w:r>
        <w:rPr>
          <w:rFonts w:hint="default" w:ascii="Times New Roman" w:hAnsi="Times New Roman" w:eastAsia="Times New Roman" w:cs="Times New Roman"/>
          <w:bCs/>
          <w:sz w:val="24"/>
          <w:szCs w:val="24"/>
          <w:lang w:val="en-US"/>
        </w:rPr>
        <w:t>(2 Dec 2010).</w:t>
      </w:r>
    </w:p>
    <w:p w14:paraId="5913E914">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BBC Panorama, </w:t>
      </w:r>
      <w:r>
        <w:rPr>
          <w:rFonts w:hint="default" w:ascii="Times New Roman" w:hAnsi="Times New Roman" w:eastAsia="Times New Roman" w:cs="Times New Roman"/>
          <w:bCs/>
          <w:i/>
          <w:iCs/>
          <w:sz w:val="24"/>
          <w:szCs w:val="24"/>
          <w:lang w:val="en-US"/>
        </w:rPr>
        <w:t>FIFA’s Dirty Secrets</w:t>
      </w:r>
      <w:r>
        <w:rPr>
          <w:rFonts w:hint="default" w:ascii="Times New Roman" w:hAnsi="Times New Roman" w:eastAsia="Times New Roman" w:cs="Times New Roman"/>
          <w:bCs/>
          <w:sz w:val="24"/>
          <w:szCs w:val="24"/>
          <w:lang w:val="en-US"/>
        </w:rPr>
        <w:t xml:space="preserve"> (29 Nov 2010).</w:t>
      </w:r>
    </w:p>
    <w:p w14:paraId="6B3AA971">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The Sunday Times, The FIFA Files: </w:t>
      </w:r>
      <w:r>
        <w:rPr>
          <w:rFonts w:hint="default" w:ascii="Times New Roman" w:hAnsi="Times New Roman" w:eastAsia="Times New Roman" w:cs="Times New Roman"/>
          <w:bCs/>
          <w:i/>
          <w:iCs/>
          <w:sz w:val="24"/>
          <w:szCs w:val="24"/>
          <w:lang w:val="en-US"/>
        </w:rPr>
        <w:t>Qatar’s Secret $5m Payments to Officials</w:t>
      </w:r>
      <w:r>
        <w:rPr>
          <w:rFonts w:hint="default" w:ascii="Times New Roman" w:hAnsi="Times New Roman" w:eastAsia="Times New Roman" w:cs="Times New Roman"/>
          <w:bCs/>
          <w:sz w:val="24"/>
          <w:szCs w:val="24"/>
          <w:lang w:val="en-US"/>
        </w:rPr>
        <w:t xml:space="preserve"> (June 2014).</w:t>
      </w:r>
    </w:p>
    <w:p w14:paraId="1CCE0340">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BBC News, "FIFA ISL Bribery Scandal Revealed" (11 July 2012).</w:t>
      </w:r>
    </w:p>
    <w:p w14:paraId="6CD47818">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The New York Times, "U.S. Charges 16 More FIFA Officials in Corruption Case" (Dec 2015).</w:t>
      </w:r>
    </w:p>
    <w:p w14:paraId="46F12624">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Reuters, "Former CONMEBOL Chief Nicolas Leoz Dies Amid FIFA Scandal" (2019).</w:t>
      </w:r>
    </w:p>
    <w:p w14:paraId="43818A41">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The Guardian, "FIFA Scandal: Jack Warner Charged over $10m World Cup Bribes" (2015).</w:t>
      </w:r>
    </w:p>
    <w:p w14:paraId="3606764F">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BBC News, </w:t>
      </w:r>
      <w:r>
        <w:rPr>
          <w:rFonts w:hint="default" w:ascii="Times New Roman" w:hAnsi="Times New Roman" w:eastAsia="Times New Roman" w:cs="Times New Roman"/>
          <w:bCs/>
          <w:i/>
          <w:iCs w:val="0"/>
          <w:sz w:val="24"/>
          <w:szCs w:val="24"/>
          <w:lang w:val="en-US"/>
        </w:rPr>
        <w:t>Jack Warner Fights Extradition in FIFA Case</w:t>
      </w:r>
      <w:r>
        <w:rPr>
          <w:rFonts w:hint="default" w:ascii="Times New Roman" w:hAnsi="Times New Roman" w:eastAsia="Times New Roman" w:cs="Times New Roman"/>
          <w:bCs/>
          <w:sz w:val="24"/>
          <w:szCs w:val="24"/>
          <w:lang w:val="en-US"/>
        </w:rPr>
        <w:t xml:space="preserve"> (2019).</w:t>
      </w:r>
    </w:p>
    <w:p w14:paraId="35979BB0">
      <w:pPr>
        <w:pStyle w:val="6"/>
        <w:widowControl/>
        <w:numPr>
          <w:ilvl w:val="0"/>
          <w:numId w:val="12"/>
        </w:numPr>
        <w:spacing w:line="480" w:lineRule="auto"/>
        <w:ind w:left="1100" w:leftChars="0" w:hanging="440" w:firstLineChars="0"/>
        <w:contextualSpacing/>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The New York Times, "Sports Marketing Executive Admits to Bribes in FIFA Case" (2015).</w:t>
      </w:r>
    </w:p>
    <w:p w14:paraId="672397B0"/>
    <w:sectPr>
      <w:headerReference r:id="rId5" w:type="default"/>
      <w:footerReference r:id="rId6" w:type="default"/>
      <w:pgSz w:w="11906" w:h="16838"/>
      <w:pgMar w:top="1440" w:right="1800" w:bottom="1440" w:left="180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1364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96B142">
                          <w:pPr>
                            <w:pStyle w:val="4"/>
                            <w:rPr>
                              <w:rFonts w:hint="default" w:ascii="Times New Roman" w:hAnsi="Times New Roman" w:cs="Times New Roman"/>
                              <w:sz w:val="24"/>
                              <w:szCs w:val="24"/>
                            </w:rPr>
                          </w:pPr>
                          <w:r>
                            <w:rPr>
                              <w:rFonts w:hint="default" w:ascii="Times New Roman" w:hAnsi="Times New Roman" w:cs="Times New Roman"/>
                              <w:sz w:val="24"/>
                              <w:szCs w:val="24"/>
                              <w:lang w:val="en-US"/>
                            </w:rPr>
                            <w:t xml:space="preserve">UNIVERSITAS BUNG HATTA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p w14:paraId="6996B142">
                    <w:pPr>
                      <w:pStyle w:val="4"/>
                      <w:rPr>
                        <w:rFonts w:hint="default" w:ascii="Times New Roman" w:hAnsi="Times New Roman" w:cs="Times New Roman"/>
                        <w:sz w:val="24"/>
                        <w:szCs w:val="24"/>
                      </w:rPr>
                    </w:pPr>
                    <w:r>
                      <w:rPr>
                        <w:rFonts w:hint="default" w:ascii="Times New Roman" w:hAnsi="Times New Roman" w:cs="Times New Roman"/>
                        <w:sz w:val="24"/>
                        <w:szCs w:val="24"/>
                        <w:lang w:val="en-US"/>
                      </w:rPr>
                      <w:t xml:space="preserve">UNIVERSITAS BUNG HATTA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89DF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B050D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06B050DD">
                    <w:pPr>
                      <w:pStyle w:val="5"/>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774FC"/>
    <w:multiLevelType w:val="singleLevel"/>
    <w:tmpl w:val="A1C774FC"/>
    <w:lvl w:ilvl="0" w:tentative="0">
      <w:start w:val="1"/>
      <w:numFmt w:val="decimal"/>
      <w:suff w:val="space"/>
      <w:lvlText w:val="%1."/>
      <w:lvlJc w:val="left"/>
    </w:lvl>
  </w:abstractNum>
  <w:abstractNum w:abstractNumId="1">
    <w:nsid w:val="00000006"/>
    <w:multiLevelType w:val="multilevel"/>
    <w:tmpl w:val="00000006"/>
    <w:lvl w:ilvl="0" w:tentative="0">
      <w:start w:val="1"/>
      <w:numFmt w:val="decimal"/>
      <w:lvlText w:val="%1."/>
      <w:lvlJc w:val="left"/>
      <w:pPr>
        <w:ind w:left="1169" w:hanging="360"/>
      </w:pPr>
    </w:lvl>
    <w:lvl w:ilvl="1" w:tentative="0">
      <w:start w:val="2"/>
      <w:numFmt w:val="bullet"/>
      <w:lvlText w:val="-"/>
      <w:lvlJc w:val="left"/>
      <w:pPr>
        <w:ind w:left="1889" w:hanging="360"/>
      </w:pPr>
      <w:rPr>
        <w:rFonts w:hint="default" w:ascii="Times New Roman" w:hAnsi="Times New Roman" w:eastAsia="Times New Roman" w:cs="Times New Roman"/>
      </w:rPr>
    </w:lvl>
    <w:lvl w:ilvl="2" w:tentative="0">
      <w:start w:val="1"/>
      <w:numFmt w:val="lowerRoman"/>
      <w:lvlText w:val="%3."/>
      <w:lvlJc w:val="right"/>
      <w:pPr>
        <w:ind w:left="2609" w:hanging="180"/>
      </w:pPr>
    </w:lvl>
    <w:lvl w:ilvl="3" w:tentative="0">
      <w:start w:val="1"/>
      <w:numFmt w:val="decimal"/>
      <w:lvlText w:val="%4."/>
      <w:lvlJc w:val="left"/>
      <w:pPr>
        <w:ind w:left="3329" w:hanging="360"/>
      </w:pPr>
    </w:lvl>
    <w:lvl w:ilvl="4" w:tentative="0">
      <w:start w:val="1"/>
      <w:numFmt w:val="lowerLetter"/>
      <w:lvlText w:val="%5."/>
      <w:lvlJc w:val="left"/>
      <w:pPr>
        <w:ind w:left="4049" w:hanging="360"/>
      </w:pPr>
    </w:lvl>
    <w:lvl w:ilvl="5" w:tentative="0">
      <w:start w:val="1"/>
      <w:numFmt w:val="lowerRoman"/>
      <w:lvlText w:val="%6."/>
      <w:lvlJc w:val="right"/>
      <w:pPr>
        <w:ind w:left="4769" w:hanging="180"/>
      </w:pPr>
    </w:lvl>
    <w:lvl w:ilvl="6" w:tentative="0">
      <w:start w:val="1"/>
      <w:numFmt w:val="decimal"/>
      <w:lvlText w:val="%7."/>
      <w:lvlJc w:val="left"/>
      <w:pPr>
        <w:ind w:left="5489" w:hanging="360"/>
      </w:pPr>
    </w:lvl>
    <w:lvl w:ilvl="7" w:tentative="0">
      <w:start w:val="1"/>
      <w:numFmt w:val="lowerLetter"/>
      <w:lvlText w:val="%8."/>
      <w:lvlJc w:val="left"/>
      <w:pPr>
        <w:ind w:left="6209" w:hanging="360"/>
      </w:pPr>
    </w:lvl>
    <w:lvl w:ilvl="8" w:tentative="0">
      <w:start w:val="1"/>
      <w:numFmt w:val="lowerRoman"/>
      <w:lvlText w:val="%9."/>
      <w:lvlJc w:val="right"/>
      <w:pPr>
        <w:ind w:left="6929" w:hanging="180"/>
      </w:pPr>
    </w:lvl>
  </w:abstractNum>
  <w:abstractNum w:abstractNumId="2">
    <w:nsid w:val="00000008"/>
    <w:multiLevelType w:val="multilevel"/>
    <w:tmpl w:val="00000008"/>
    <w:lvl w:ilvl="0" w:tentative="0">
      <w:start w:val="4"/>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0E"/>
    <w:multiLevelType w:val="multilevel"/>
    <w:tmpl w:val="0000000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0000010"/>
    <w:multiLevelType w:val="multilevel"/>
    <w:tmpl w:val="00000010"/>
    <w:lvl w:ilvl="0" w:tentative="0">
      <w:start w:val="1"/>
      <w:numFmt w:val="upperLetter"/>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00000013"/>
    <w:multiLevelType w:val="multilevel"/>
    <w:tmpl w:val="00000013"/>
    <w:lvl w:ilvl="0" w:tentative="0">
      <w:start w:val="1"/>
      <w:numFmt w:val="decimal"/>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6">
    <w:nsid w:val="00000014"/>
    <w:multiLevelType w:val="multilevel"/>
    <w:tmpl w:val="00000014"/>
    <w:lvl w:ilvl="0" w:tentative="0">
      <w:start w:val="1"/>
      <w:numFmt w:val="decimal"/>
      <w:lvlText w:val="%1."/>
      <w:lvlJc w:val="left"/>
      <w:pPr>
        <w:ind w:left="1710" w:hanging="360"/>
      </w:pPr>
    </w:lvl>
    <w:lvl w:ilvl="1" w:tentative="0">
      <w:start w:val="1"/>
      <w:numFmt w:val="lowerLetter"/>
      <w:lvlText w:val="%2."/>
      <w:lvlJc w:val="left"/>
      <w:pPr>
        <w:ind w:left="2430" w:hanging="360"/>
      </w:pPr>
    </w:lvl>
    <w:lvl w:ilvl="2" w:tentative="0">
      <w:start w:val="1"/>
      <w:numFmt w:val="lowerRoman"/>
      <w:lvlText w:val="%3."/>
      <w:lvlJc w:val="right"/>
      <w:pPr>
        <w:ind w:left="3150" w:hanging="180"/>
      </w:pPr>
    </w:lvl>
    <w:lvl w:ilvl="3" w:tentative="0">
      <w:start w:val="1"/>
      <w:numFmt w:val="decimal"/>
      <w:lvlText w:val="%4."/>
      <w:lvlJc w:val="left"/>
      <w:pPr>
        <w:ind w:left="3870" w:hanging="360"/>
      </w:pPr>
    </w:lvl>
    <w:lvl w:ilvl="4" w:tentative="0">
      <w:start w:val="1"/>
      <w:numFmt w:val="lowerLetter"/>
      <w:lvlText w:val="%5."/>
      <w:lvlJc w:val="left"/>
      <w:pPr>
        <w:ind w:left="4590" w:hanging="360"/>
      </w:pPr>
    </w:lvl>
    <w:lvl w:ilvl="5" w:tentative="0">
      <w:start w:val="1"/>
      <w:numFmt w:val="lowerRoman"/>
      <w:lvlText w:val="%6."/>
      <w:lvlJc w:val="right"/>
      <w:pPr>
        <w:ind w:left="5310" w:hanging="180"/>
      </w:pPr>
    </w:lvl>
    <w:lvl w:ilvl="6" w:tentative="0">
      <w:start w:val="1"/>
      <w:numFmt w:val="decimal"/>
      <w:lvlText w:val="%7."/>
      <w:lvlJc w:val="left"/>
      <w:pPr>
        <w:ind w:left="6030" w:hanging="360"/>
      </w:pPr>
    </w:lvl>
    <w:lvl w:ilvl="7" w:tentative="0">
      <w:start w:val="1"/>
      <w:numFmt w:val="lowerLetter"/>
      <w:lvlText w:val="%8."/>
      <w:lvlJc w:val="left"/>
      <w:pPr>
        <w:ind w:left="6750" w:hanging="360"/>
      </w:pPr>
    </w:lvl>
    <w:lvl w:ilvl="8" w:tentative="0">
      <w:start w:val="1"/>
      <w:numFmt w:val="lowerRoman"/>
      <w:lvlText w:val="%9."/>
      <w:lvlJc w:val="right"/>
      <w:pPr>
        <w:ind w:left="7470" w:hanging="180"/>
      </w:pPr>
    </w:lvl>
  </w:abstractNum>
  <w:abstractNum w:abstractNumId="7">
    <w:nsid w:val="00000022"/>
    <w:multiLevelType w:val="multilevel"/>
    <w:tmpl w:val="00000022"/>
    <w:lvl w:ilvl="0" w:tentative="0">
      <w:start w:val="5"/>
      <w:numFmt w:val="decimal"/>
      <w:lvlText w:val="%1."/>
      <w:lvlJc w:val="left"/>
      <w:pPr>
        <w:ind w:left="81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0000033"/>
    <w:multiLevelType w:val="multilevel"/>
    <w:tmpl w:val="00000033"/>
    <w:lvl w:ilvl="0" w:tentative="0">
      <w:start w:val="1"/>
      <w:numFmt w:val="lowerLetter"/>
      <w:lvlText w:val="%1."/>
      <w:lvlJc w:val="left"/>
      <w:pPr>
        <w:ind w:left="1170" w:hanging="360"/>
      </w:pPr>
    </w:lvl>
    <w:lvl w:ilvl="1" w:tentative="0">
      <w:start w:val="1"/>
      <w:numFmt w:val="lowerLetter"/>
      <w:lvlText w:val="%2."/>
      <w:lvlJc w:val="left"/>
      <w:pPr>
        <w:ind w:left="1890" w:hanging="360"/>
      </w:pPr>
    </w:lvl>
    <w:lvl w:ilvl="2" w:tentative="0">
      <w:start w:val="1"/>
      <w:numFmt w:val="lowerRoman"/>
      <w:lvlText w:val="%3."/>
      <w:lvlJc w:val="right"/>
      <w:pPr>
        <w:ind w:left="2610" w:hanging="180"/>
      </w:pPr>
    </w:lvl>
    <w:lvl w:ilvl="3" w:tentative="0">
      <w:start w:val="1"/>
      <w:numFmt w:val="decimal"/>
      <w:lvlText w:val="%4."/>
      <w:lvlJc w:val="left"/>
      <w:pPr>
        <w:ind w:left="3330" w:hanging="360"/>
      </w:pPr>
    </w:lvl>
    <w:lvl w:ilvl="4" w:tentative="0">
      <w:start w:val="1"/>
      <w:numFmt w:val="lowerLetter"/>
      <w:lvlText w:val="%5."/>
      <w:lvlJc w:val="left"/>
      <w:pPr>
        <w:ind w:left="4050" w:hanging="360"/>
      </w:pPr>
    </w:lvl>
    <w:lvl w:ilvl="5" w:tentative="0">
      <w:start w:val="1"/>
      <w:numFmt w:val="lowerRoman"/>
      <w:lvlText w:val="%6."/>
      <w:lvlJc w:val="right"/>
      <w:pPr>
        <w:ind w:left="4770" w:hanging="180"/>
      </w:pPr>
    </w:lvl>
    <w:lvl w:ilvl="6" w:tentative="0">
      <w:start w:val="1"/>
      <w:numFmt w:val="decimal"/>
      <w:lvlText w:val="%7."/>
      <w:lvlJc w:val="left"/>
      <w:pPr>
        <w:ind w:left="5490" w:hanging="360"/>
      </w:pPr>
    </w:lvl>
    <w:lvl w:ilvl="7" w:tentative="0">
      <w:start w:val="1"/>
      <w:numFmt w:val="lowerLetter"/>
      <w:lvlText w:val="%8."/>
      <w:lvlJc w:val="left"/>
      <w:pPr>
        <w:ind w:left="6210" w:hanging="360"/>
      </w:pPr>
    </w:lvl>
    <w:lvl w:ilvl="8" w:tentative="0">
      <w:start w:val="1"/>
      <w:numFmt w:val="lowerRoman"/>
      <w:lvlText w:val="%9."/>
      <w:lvlJc w:val="right"/>
      <w:pPr>
        <w:ind w:left="6930" w:hanging="180"/>
      </w:pPr>
    </w:lvl>
  </w:abstractNum>
  <w:abstractNum w:abstractNumId="9">
    <w:nsid w:val="0000003A"/>
    <w:multiLevelType w:val="multilevel"/>
    <w:tmpl w:val="0000003A"/>
    <w:lvl w:ilvl="0" w:tentative="0">
      <w:start w:val="1"/>
      <w:numFmt w:val="lowerLetter"/>
      <w:lvlText w:val="%1."/>
      <w:lvlJc w:val="left"/>
      <w:pPr>
        <w:ind w:left="2430" w:hanging="360"/>
      </w:pPr>
    </w:lvl>
    <w:lvl w:ilvl="1" w:tentative="0">
      <w:start w:val="1"/>
      <w:numFmt w:val="lowerLetter"/>
      <w:lvlText w:val="%2."/>
      <w:lvlJc w:val="left"/>
      <w:pPr>
        <w:ind w:left="3150" w:hanging="360"/>
      </w:pPr>
    </w:lvl>
    <w:lvl w:ilvl="2" w:tentative="0">
      <w:start w:val="1"/>
      <w:numFmt w:val="lowerRoman"/>
      <w:lvlText w:val="%3."/>
      <w:lvlJc w:val="right"/>
      <w:pPr>
        <w:ind w:left="3870" w:hanging="180"/>
      </w:pPr>
    </w:lvl>
    <w:lvl w:ilvl="3" w:tentative="0">
      <w:start w:val="1"/>
      <w:numFmt w:val="decimal"/>
      <w:lvlText w:val="%4."/>
      <w:lvlJc w:val="left"/>
      <w:pPr>
        <w:ind w:left="4590" w:hanging="360"/>
      </w:pPr>
    </w:lvl>
    <w:lvl w:ilvl="4" w:tentative="0">
      <w:start w:val="1"/>
      <w:numFmt w:val="lowerLetter"/>
      <w:lvlText w:val="%5."/>
      <w:lvlJc w:val="left"/>
      <w:pPr>
        <w:ind w:left="5310" w:hanging="360"/>
      </w:pPr>
    </w:lvl>
    <w:lvl w:ilvl="5" w:tentative="0">
      <w:start w:val="1"/>
      <w:numFmt w:val="lowerRoman"/>
      <w:lvlText w:val="%6."/>
      <w:lvlJc w:val="right"/>
      <w:pPr>
        <w:ind w:left="6030" w:hanging="180"/>
      </w:pPr>
    </w:lvl>
    <w:lvl w:ilvl="6" w:tentative="0">
      <w:start w:val="1"/>
      <w:numFmt w:val="decimal"/>
      <w:lvlText w:val="%7."/>
      <w:lvlJc w:val="left"/>
      <w:pPr>
        <w:ind w:left="6750" w:hanging="360"/>
      </w:pPr>
    </w:lvl>
    <w:lvl w:ilvl="7" w:tentative="0">
      <w:start w:val="1"/>
      <w:numFmt w:val="lowerLetter"/>
      <w:lvlText w:val="%8."/>
      <w:lvlJc w:val="left"/>
      <w:pPr>
        <w:ind w:left="7470" w:hanging="360"/>
      </w:pPr>
    </w:lvl>
    <w:lvl w:ilvl="8" w:tentative="0">
      <w:start w:val="1"/>
      <w:numFmt w:val="lowerRoman"/>
      <w:lvlText w:val="%9."/>
      <w:lvlJc w:val="right"/>
      <w:pPr>
        <w:ind w:left="8190" w:hanging="180"/>
      </w:pPr>
    </w:lvl>
  </w:abstractNum>
  <w:abstractNum w:abstractNumId="10">
    <w:nsid w:val="00000051"/>
    <w:multiLevelType w:val="multilevel"/>
    <w:tmpl w:val="00000051"/>
    <w:lvl w:ilvl="0" w:tentative="0">
      <w:start w:val="1"/>
      <w:numFmt w:val="lowerLetter"/>
      <w:lvlText w:val="%1."/>
      <w:lvlJc w:val="left"/>
      <w:pPr>
        <w:ind w:left="2258" w:hanging="360"/>
      </w:pPr>
    </w:lvl>
    <w:lvl w:ilvl="1" w:tentative="0">
      <w:start w:val="1"/>
      <w:numFmt w:val="lowerLetter"/>
      <w:lvlText w:val="%2."/>
      <w:lvlJc w:val="left"/>
      <w:pPr>
        <w:ind w:left="2978" w:hanging="360"/>
      </w:pPr>
    </w:lvl>
    <w:lvl w:ilvl="2" w:tentative="0">
      <w:start w:val="1"/>
      <w:numFmt w:val="lowerRoman"/>
      <w:lvlText w:val="%3."/>
      <w:lvlJc w:val="right"/>
      <w:pPr>
        <w:ind w:left="3698" w:hanging="180"/>
      </w:pPr>
    </w:lvl>
    <w:lvl w:ilvl="3" w:tentative="0">
      <w:start w:val="1"/>
      <w:numFmt w:val="decimal"/>
      <w:lvlText w:val="%4."/>
      <w:lvlJc w:val="left"/>
      <w:pPr>
        <w:ind w:left="4418" w:hanging="360"/>
      </w:pPr>
    </w:lvl>
    <w:lvl w:ilvl="4" w:tentative="0">
      <w:start w:val="1"/>
      <w:numFmt w:val="lowerLetter"/>
      <w:lvlText w:val="%5."/>
      <w:lvlJc w:val="left"/>
      <w:pPr>
        <w:ind w:left="5138" w:hanging="360"/>
      </w:pPr>
    </w:lvl>
    <w:lvl w:ilvl="5" w:tentative="0">
      <w:start w:val="1"/>
      <w:numFmt w:val="lowerRoman"/>
      <w:lvlText w:val="%6."/>
      <w:lvlJc w:val="right"/>
      <w:pPr>
        <w:ind w:left="5858" w:hanging="180"/>
      </w:pPr>
    </w:lvl>
    <w:lvl w:ilvl="6" w:tentative="0">
      <w:start w:val="1"/>
      <w:numFmt w:val="decimal"/>
      <w:lvlText w:val="%7."/>
      <w:lvlJc w:val="left"/>
      <w:pPr>
        <w:ind w:left="6578" w:hanging="360"/>
      </w:pPr>
    </w:lvl>
    <w:lvl w:ilvl="7" w:tentative="0">
      <w:start w:val="1"/>
      <w:numFmt w:val="lowerLetter"/>
      <w:lvlText w:val="%8."/>
      <w:lvlJc w:val="left"/>
      <w:pPr>
        <w:ind w:left="7298" w:hanging="360"/>
      </w:pPr>
    </w:lvl>
    <w:lvl w:ilvl="8" w:tentative="0">
      <w:start w:val="1"/>
      <w:numFmt w:val="lowerRoman"/>
      <w:lvlText w:val="%9."/>
      <w:lvlJc w:val="right"/>
      <w:pPr>
        <w:ind w:left="8018" w:hanging="180"/>
      </w:pPr>
    </w:lvl>
  </w:abstractNum>
  <w:abstractNum w:abstractNumId="11">
    <w:nsid w:val="37E47118"/>
    <w:multiLevelType w:val="singleLevel"/>
    <w:tmpl w:val="37E47118"/>
    <w:lvl w:ilvl="0" w:tentative="0">
      <w:start w:val="1"/>
      <w:numFmt w:val="lowerLetter"/>
      <w:lvlText w:val="%1."/>
      <w:lvlJc w:val="left"/>
      <w:pPr>
        <w:tabs>
          <w:tab w:val="left" w:pos="425"/>
        </w:tabs>
        <w:ind w:left="425" w:leftChars="0" w:hanging="425" w:firstLineChars="0"/>
      </w:pPr>
      <w:rPr>
        <w:rFonts w:hint="default"/>
      </w:rPr>
    </w:lvl>
  </w:abstractNum>
  <w:num w:numId="1">
    <w:abstractNumId w:val="4"/>
  </w:num>
  <w:num w:numId="2">
    <w:abstractNumId w:val="6"/>
  </w:num>
  <w:num w:numId="3">
    <w:abstractNumId w:val="0"/>
  </w:num>
  <w:num w:numId="4">
    <w:abstractNumId w:val="5"/>
  </w:num>
  <w:num w:numId="5">
    <w:abstractNumId w:val="1"/>
  </w:num>
  <w:num w:numId="6">
    <w:abstractNumId w:val="10"/>
  </w:num>
  <w:num w:numId="7">
    <w:abstractNumId w:val="9"/>
  </w:num>
  <w:num w:numId="8">
    <w:abstractNumId w:val="2"/>
  </w:num>
  <w:num w:numId="9">
    <w:abstractNumId w:val="11"/>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F7CEA"/>
    <w:rsid w:val="04601BC8"/>
    <w:rsid w:val="4F0B31D3"/>
    <w:rsid w:val="514F7CEA"/>
    <w:rsid w:val="65D43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6">
    <w:name w:val="Normal (Web)"/>
    <w:qFormat/>
    <w:uiPriority w:val="0"/>
    <w:pPr>
      <w:spacing w:before="0" w:beforeAutospacing="1" w:after="0" w:afterAutospacing="1" w:line="240" w:lineRule="auto"/>
      <w:ind w:left="0" w:right="0"/>
      <w:jc w:val="left"/>
    </w:pPr>
    <w:rPr>
      <w:rFonts w:ascii="SimSun" w:hAnsi="SimSun" w:eastAsia="SimSun" w:cs="SimSun"/>
      <w:kern w:val="0"/>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2025-10-03T02:18:00Z</dcterms:created>
  <dc:creator>Federikus Bonar Siregar</dc:creator>
  <cp:lastModifiedBy>Federikus Bonar Siregar</cp:lastModifiedBy>
  <dcterms:modified xsi:type="dcterms:W3CDTF">2025-10-03T02:21:52Z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4A8E9B38C6494C748B962000290A7051_11</vt:lpwstr>
  </property>
</Properties>
</file>